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152" w:rsidRDefault="00372EC6">
      <w:pPr>
        <w:jc w:val="center"/>
        <w:rPr>
          <w:rFonts w:ascii="宋体"/>
          <w:b/>
          <w:sz w:val="36"/>
          <w:szCs w:val="36"/>
        </w:rPr>
      </w:pPr>
      <w:r>
        <w:rPr>
          <w:rFonts w:ascii="宋体" w:hAnsi="宋体" w:hint="eastAsia"/>
          <w:b/>
          <w:sz w:val="36"/>
          <w:szCs w:val="36"/>
        </w:rPr>
        <w:t>《果蔬洗涤盐》行业标准编制说明</w:t>
      </w:r>
    </w:p>
    <w:p w:rsidR="00C65152" w:rsidRDefault="00372EC6">
      <w:pPr>
        <w:jc w:val="center"/>
        <w:rPr>
          <w:rFonts w:ascii="宋体"/>
          <w:b/>
          <w:sz w:val="36"/>
          <w:szCs w:val="36"/>
        </w:rPr>
      </w:pPr>
      <w:r>
        <w:rPr>
          <w:rFonts w:ascii="宋体" w:hint="eastAsia"/>
          <w:b/>
          <w:sz w:val="36"/>
          <w:szCs w:val="36"/>
        </w:rPr>
        <w:t>（征求意见稿）</w:t>
      </w:r>
    </w:p>
    <w:p w:rsidR="00C65152" w:rsidRDefault="00372EC6">
      <w:pPr>
        <w:spacing w:before="240" w:line="360" w:lineRule="atLeast"/>
        <w:rPr>
          <w:rFonts w:ascii="宋体"/>
          <w:b/>
          <w:kern w:val="0"/>
          <w:sz w:val="28"/>
          <w:szCs w:val="28"/>
        </w:rPr>
      </w:pPr>
      <w:r>
        <w:rPr>
          <w:rFonts w:ascii="宋体" w:hAnsi="宋体" w:hint="eastAsia"/>
          <w:b/>
          <w:kern w:val="0"/>
          <w:sz w:val="28"/>
          <w:szCs w:val="28"/>
        </w:rPr>
        <w:t>一、工作简况</w:t>
      </w:r>
    </w:p>
    <w:p w:rsidR="00C65152" w:rsidRDefault="00372EC6">
      <w:pPr>
        <w:spacing w:before="240"/>
        <w:rPr>
          <w:rFonts w:ascii="宋体"/>
          <w:b/>
          <w:sz w:val="28"/>
          <w:szCs w:val="28"/>
        </w:rPr>
      </w:pPr>
      <w:r>
        <w:rPr>
          <w:rFonts w:ascii="宋体" w:hAnsi="宋体"/>
          <w:b/>
          <w:sz w:val="28"/>
          <w:szCs w:val="28"/>
        </w:rPr>
        <w:t>1</w:t>
      </w:r>
      <w:r>
        <w:rPr>
          <w:rFonts w:ascii="宋体" w:hAnsi="宋体" w:hint="eastAsia"/>
          <w:b/>
          <w:sz w:val="28"/>
          <w:szCs w:val="28"/>
        </w:rPr>
        <w:t>任务来源</w:t>
      </w:r>
    </w:p>
    <w:p w:rsidR="00C65152" w:rsidRDefault="00372EC6">
      <w:pPr>
        <w:ind w:firstLineChars="200" w:firstLine="560"/>
        <w:jc w:val="left"/>
        <w:rPr>
          <w:rFonts w:ascii="宋体"/>
          <w:b/>
          <w:sz w:val="28"/>
          <w:szCs w:val="28"/>
        </w:rPr>
      </w:pPr>
      <w:r>
        <w:rPr>
          <w:rFonts w:ascii="宋体" w:hAnsi="宋体" w:hint="eastAsia"/>
          <w:sz w:val="28"/>
          <w:szCs w:val="28"/>
        </w:rPr>
        <w:t>本项目根据工业和信息化部《关于印发2025年第五批行业标准制修订和外文版项目计划的通知》（工信厅科〔2025〕528号）要求，计划编号为 2025-1606T-QB，项目名称“果蔬洗涤盐”进行制定，主要起草单位：国家盐产品质量监督检验中心，中国盐业股份有限公司，中盐金坛盐化有限责任公司、福建省盐业集团有限责任公司，中盐工程技术研究院有限公司，广东省广盐集团股份有限公司等,计划完成时间20</w:t>
      </w:r>
      <w:r>
        <w:rPr>
          <w:rFonts w:ascii="宋体" w:hAnsi="宋体"/>
          <w:sz w:val="28"/>
          <w:szCs w:val="28"/>
        </w:rPr>
        <w:t>2</w:t>
      </w:r>
      <w:r>
        <w:rPr>
          <w:rFonts w:ascii="宋体" w:hAnsi="宋体" w:hint="eastAsia"/>
          <w:sz w:val="28"/>
          <w:szCs w:val="28"/>
        </w:rPr>
        <w:t>6年12月。</w:t>
      </w:r>
    </w:p>
    <w:p w:rsidR="00C65152" w:rsidRDefault="00372EC6">
      <w:pPr>
        <w:spacing w:before="240"/>
        <w:rPr>
          <w:rFonts w:ascii="宋体"/>
          <w:b/>
          <w:sz w:val="28"/>
          <w:szCs w:val="28"/>
        </w:rPr>
      </w:pPr>
      <w:r>
        <w:rPr>
          <w:rFonts w:ascii="宋体" w:hAnsi="宋体"/>
          <w:b/>
          <w:sz w:val="28"/>
          <w:szCs w:val="28"/>
        </w:rPr>
        <w:t>2</w:t>
      </w:r>
      <w:r>
        <w:rPr>
          <w:rFonts w:ascii="宋体" w:hAnsi="宋体" w:hint="eastAsia"/>
          <w:b/>
          <w:sz w:val="28"/>
          <w:szCs w:val="28"/>
        </w:rPr>
        <w:t>主要工作过程</w:t>
      </w:r>
    </w:p>
    <w:p w:rsidR="00C65152" w:rsidRDefault="00372EC6">
      <w:pPr>
        <w:spacing w:before="240"/>
        <w:rPr>
          <w:rFonts w:ascii="宋体"/>
          <w:b/>
          <w:sz w:val="28"/>
          <w:szCs w:val="28"/>
        </w:rPr>
      </w:pPr>
      <w:r>
        <w:rPr>
          <w:rFonts w:ascii="宋体" w:hAnsi="宋体"/>
          <w:b/>
          <w:sz w:val="28"/>
          <w:szCs w:val="28"/>
        </w:rPr>
        <w:t>2.1</w:t>
      </w:r>
      <w:r>
        <w:rPr>
          <w:rFonts w:ascii="宋体" w:hAnsi="宋体" w:hint="eastAsia"/>
          <w:b/>
          <w:sz w:val="28"/>
          <w:szCs w:val="28"/>
        </w:rPr>
        <w:t>起草阶段</w:t>
      </w:r>
    </w:p>
    <w:p w:rsidR="00C65152" w:rsidRDefault="00372EC6">
      <w:pPr>
        <w:spacing w:before="240"/>
        <w:ind w:firstLineChars="200" w:firstLine="560"/>
        <w:rPr>
          <w:rFonts w:ascii="宋体"/>
          <w:sz w:val="28"/>
          <w:szCs w:val="28"/>
        </w:rPr>
      </w:pPr>
      <w:r>
        <w:rPr>
          <w:rFonts w:ascii="宋体" w:hAnsi="宋体" w:hint="eastAsia"/>
          <w:sz w:val="28"/>
          <w:szCs w:val="28"/>
        </w:rPr>
        <w:t>标准起草任务下达后，起草单位迅速组织专家成立了标准起草工作组，小组成员中有多年从事标准化工作且经验丰富的工程师、检测人员。工作组通过讨论，初步明确了标准起草进程安排和各起草单位分工。标准起草工作组成员查阅相关文献，与生产企业进行技术交流，充分了解了果蔬洗涤盐的产品特点和发展动态。</w:t>
      </w:r>
    </w:p>
    <w:p w:rsidR="00C65152" w:rsidRDefault="00372EC6">
      <w:pPr>
        <w:spacing w:before="240"/>
        <w:ind w:firstLineChars="200" w:firstLine="560"/>
        <w:rPr>
          <w:rFonts w:ascii="宋体" w:hAnsi="宋体"/>
          <w:sz w:val="28"/>
          <w:szCs w:val="28"/>
        </w:rPr>
      </w:pPr>
      <w:r>
        <w:rPr>
          <w:rFonts w:ascii="宋体" w:hAnsi="宋体" w:hint="eastAsia"/>
          <w:sz w:val="28"/>
          <w:szCs w:val="28"/>
        </w:rPr>
        <w:t>标准起草工作组对收集到的果蔬洗涤盐指标要求、试验方法、包装、贮存等信息进行了归纳总结，对果蔬洗涤盐的指标要求设定等难</w:t>
      </w:r>
      <w:r>
        <w:rPr>
          <w:rFonts w:ascii="宋体" w:hAnsi="宋体" w:hint="eastAsia"/>
          <w:sz w:val="28"/>
          <w:szCs w:val="28"/>
        </w:rPr>
        <w:lastRenderedPageBreak/>
        <w:t>点问题进行了大量讨论，并充分征求了生产企业的意见和建议，形成了标准草稿。</w:t>
      </w:r>
    </w:p>
    <w:p w:rsidR="00C65152" w:rsidRDefault="00372EC6">
      <w:pPr>
        <w:spacing w:before="240"/>
        <w:ind w:firstLineChars="200" w:firstLine="560"/>
        <w:rPr>
          <w:rFonts w:ascii="宋体" w:hAnsi="宋体"/>
          <w:sz w:val="28"/>
          <w:szCs w:val="28"/>
        </w:rPr>
      </w:pPr>
      <w:r>
        <w:rPr>
          <w:rFonts w:ascii="宋体" w:hAnsi="宋体" w:hint="eastAsia"/>
          <w:sz w:val="28"/>
          <w:szCs w:val="28"/>
        </w:rPr>
        <w:t>为保证标准中规定的试验方法科学性与准确性，标准起草工作组对果蔬洗涤盐的去除率试验方法进行了大量验证实验。工作组通过严格筛选与精准验证，建立气相色谱-质谱联用内标法，用于测定农药残留去除率比值。该方法可直观、客观反映果蔬洗涤盐样品农药残留去除效果，能够实现产品质量常态化监测。</w:t>
      </w:r>
    </w:p>
    <w:p w:rsidR="00C65152" w:rsidRDefault="00372EC6">
      <w:pPr>
        <w:spacing w:before="240"/>
        <w:ind w:firstLineChars="200" w:firstLine="560"/>
        <w:rPr>
          <w:rFonts w:ascii="宋体" w:hAnsi="宋体"/>
          <w:sz w:val="28"/>
          <w:szCs w:val="28"/>
        </w:rPr>
      </w:pPr>
      <w:r>
        <w:rPr>
          <w:rFonts w:ascii="宋体" w:hint="eastAsia"/>
          <w:sz w:val="28"/>
          <w:szCs w:val="28"/>
        </w:rPr>
        <w:t>在标准前期调研、文本</w:t>
      </w:r>
      <w:r>
        <w:rPr>
          <w:rFonts w:ascii="宋体" w:hAnsi="宋体" w:hint="eastAsia"/>
          <w:sz w:val="28"/>
          <w:szCs w:val="28"/>
        </w:rPr>
        <w:t>编写过程中，国盐检测（天津）有限责任公司、云南省盐业有限公司、</w:t>
      </w:r>
      <w:r w:rsidR="00F5298C" w:rsidRPr="00AB2351">
        <w:rPr>
          <w:rFonts w:ascii="宋体" w:hAnsi="宋体" w:hint="eastAsia"/>
          <w:sz w:val="28"/>
          <w:szCs w:val="28"/>
        </w:rPr>
        <w:t>青海省盐业股份有限公司、</w:t>
      </w:r>
      <w:r>
        <w:rPr>
          <w:rFonts w:ascii="宋体" w:hAnsi="宋体" w:hint="eastAsia"/>
          <w:sz w:val="28"/>
          <w:szCs w:val="28"/>
        </w:rPr>
        <w:t>浙江蓝海星盐制品有限公司、中盐金坛盐化有限责任公司、福建省盐业集团有限责任公司、</w:t>
      </w:r>
      <w:r w:rsidR="00F5298C">
        <w:rPr>
          <w:rFonts w:ascii="宋体" w:hAnsi="宋体" w:hint="eastAsia"/>
          <w:sz w:val="28"/>
          <w:szCs w:val="28"/>
        </w:rPr>
        <w:t>中国盐业股份有限公司、</w:t>
      </w:r>
      <w:bookmarkStart w:id="0" w:name="_GoBack"/>
      <w:bookmarkEnd w:id="0"/>
      <w:r>
        <w:rPr>
          <w:rFonts w:ascii="宋体" w:hAnsi="宋体" w:hint="eastAsia"/>
          <w:sz w:val="28"/>
          <w:szCs w:val="28"/>
        </w:rPr>
        <w:t>中盐工程技术研究院有限公司做了大量工作，广东省广盐集团股份有限公司因工作安排与该标准起草时间相冲突，未参与标准制定。“国家盐产品质量监督检验中心”为授权资质名称，标准起草单位应使用其企业法人名称“国盐检测（天津）有限责任公司”。所以调整标准起草单位名称“国家盐产品质量监督检验中心”为其企业法人名称“国盐检测（天津）有限责任公司”。工作组经研讨，提出标准起草单位变更的申请。经全体委员</w:t>
      </w:r>
      <w:r>
        <w:rPr>
          <w:rFonts w:ascii="宋体" w:hint="eastAsia"/>
          <w:kern w:val="0"/>
          <w:sz w:val="28"/>
          <w:szCs w:val="28"/>
        </w:rPr>
        <w:t>一致同意后，于</w:t>
      </w:r>
      <w:r>
        <w:rPr>
          <w:rFonts w:ascii="宋体" w:hint="eastAsia"/>
          <w:sz w:val="28"/>
          <w:szCs w:val="28"/>
        </w:rPr>
        <w:t>20</w:t>
      </w:r>
      <w:r>
        <w:rPr>
          <w:rFonts w:ascii="宋体"/>
          <w:sz w:val="28"/>
          <w:szCs w:val="28"/>
        </w:rPr>
        <w:t>2</w:t>
      </w:r>
      <w:r>
        <w:rPr>
          <w:rFonts w:ascii="宋体" w:hint="eastAsia"/>
          <w:sz w:val="28"/>
          <w:szCs w:val="28"/>
        </w:rPr>
        <w:t>6年7月2日办理了计划项目调整申请。</w:t>
      </w:r>
    </w:p>
    <w:p w:rsidR="00C65152" w:rsidRDefault="00372EC6">
      <w:pPr>
        <w:spacing w:before="240"/>
        <w:rPr>
          <w:rFonts w:ascii="宋体"/>
          <w:b/>
          <w:sz w:val="28"/>
          <w:szCs w:val="28"/>
        </w:rPr>
      </w:pPr>
      <w:r>
        <w:rPr>
          <w:rFonts w:ascii="宋体" w:hAnsi="宋体"/>
          <w:b/>
          <w:sz w:val="28"/>
          <w:szCs w:val="28"/>
        </w:rPr>
        <w:t>2.2</w:t>
      </w:r>
      <w:r>
        <w:rPr>
          <w:rFonts w:ascii="宋体" w:hAnsi="宋体" w:hint="eastAsia"/>
          <w:b/>
          <w:sz w:val="28"/>
          <w:szCs w:val="28"/>
        </w:rPr>
        <w:t>征求意见阶段</w:t>
      </w:r>
    </w:p>
    <w:p w:rsidR="00C65152" w:rsidRDefault="00372EC6">
      <w:pPr>
        <w:spacing w:before="240"/>
        <w:ind w:firstLine="570"/>
        <w:rPr>
          <w:rFonts w:ascii="宋体" w:hAnsi="宋体"/>
          <w:sz w:val="28"/>
          <w:szCs w:val="28"/>
        </w:rPr>
      </w:pPr>
      <w:r>
        <w:rPr>
          <w:rFonts w:ascii="宋体" w:hAnsi="宋体" w:hint="eastAsia"/>
          <w:sz w:val="28"/>
          <w:szCs w:val="28"/>
        </w:rPr>
        <w:t>行业标准的草案初稿形成后，该草案初稿经过讨论和修改，形成了标准的征求意见稿，报全国盐业标准化技术委员会开始公开征求意</w:t>
      </w:r>
      <w:r>
        <w:rPr>
          <w:rFonts w:ascii="宋体" w:hAnsi="宋体" w:hint="eastAsia"/>
          <w:sz w:val="28"/>
          <w:szCs w:val="28"/>
        </w:rPr>
        <w:lastRenderedPageBreak/>
        <w:t>见。</w:t>
      </w:r>
    </w:p>
    <w:p w:rsidR="00C65152" w:rsidRDefault="00372EC6">
      <w:pPr>
        <w:spacing w:before="240"/>
        <w:rPr>
          <w:rFonts w:ascii="宋体" w:hAnsi="宋体"/>
          <w:b/>
          <w:sz w:val="28"/>
          <w:szCs w:val="28"/>
        </w:rPr>
      </w:pPr>
      <w:r>
        <w:rPr>
          <w:rFonts w:ascii="宋体" w:hAnsi="宋体" w:hint="eastAsia"/>
          <w:b/>
          <w:sz w:val="28"/>
          <w:szCs w:val="28"/>
        </w:rPr>
        <w:t>3主要参加单位和工作组成员及其所做的工作等</w:t>
      </w:r>
    </w:p>
    <w:p w:rsidR="00C65152" w:rsidRDefault="00372EC6">
      <w:pPr>
        <w:spacing w:before="240"/>
        <w:ind w:firstLine="570"/>
        <w:rPr>
          <w:rFonts w:ascii="宋体" w:hAnsi="宋体"/>
          <w:sz w:val="28"/>
          <w:szCs w:val="28"/>
        </w:rPr>
      </w:pPr>
      <w:r>
        <w:rPr>
          <w:rFonts w:ascii="宋体" w:hAnsi="宋体" w:hint="eastAsia"/>
          <w:sz w:val="28"/>
          <w:szCs w:val="28"/>
        </w:rPr>
        <w:t>本标准由</w:t>
      </w:r>
      <w:r w:rsidR="00AB2351" w:rsidRPr="00AB2351">
        <w:rPr>
          <w:rFonts w:ascii="宋体" w:hAnsi="宋体" w:hint="eastAsia"/>
          <w:sz w:val="28"/>
          <w:szCs w:val="28"/>
        </w:rPr>
        <w:t>国盐检测（天津）有限责任公司、云南省盐业有限公司、青海省盐业股份有限公司、浙江蓝海星盐制品有限公司、中盐金坛盐化有限责任公司、福建省盐业集团有限责任公司、中国盐业股份有限公司、中盐工程技术研究院有限公司</w:t>
      </w:r>
      <w:r>
        <w:rPr>
          <w:rFonts w:ascii="宋体" w:hAnsi="宋体" w:hint="eastAsia"/>
          <w:sz w:val="28"/>
          <w:szCs w:val="28"/>
        </w:rPr>
        <w:t>共同起草。</w:t>
      </w:r>
    </w:p>
    <w:p w:rsidR="00C65152" w:rsidRDefault="00372EC6">
      <w:pPr>
        <w:ind w:firstLine="570"/>
        <w:rPr>
          <w:rFonts w:ascii="宋体" w:hAnsi="宋体"/>
          <w:sz w:val="28"/>
          <w:szCs w:val="28"/>
        </w:rPr>
      </w:pPr>
      <w:r>
        <w:rPr>
          <w:rFonts w:ascii="宋体" w:hAnsi="宋体" w:hint="eastAsia"/>
          <w:sz w:val="28"/>
          <w:szCs w:val="28"/>
        </w:rPr>
        <w:t>本标准主要起草人：赵君楠、杨丽梅、陈伟、徐俊辉、林增炜、</w:t>
      </w:r>
      <w:r w:rsidR="00AB2351">
        <w:rPr>
          <w:rFonts w:ascii="宋体" w:hAnsi="宋体" w:hint="eastAsia"/>
          <w:sz w:val="28"/>
          <w:szCs w:val="28"/>
        </w:rPr>
        <w:t>蒋华彬、</w:t>
      </w:r>
      <w:r>
        <w:rPr>
          <w:rFonts w:ascii="宋体" w:hAnsi="宋体" w:hint="eastAsia"/>
          <w:sz w:val="28"/>
          <w:szCs w:val="28"/>
        </w:rPr>
        <w:t>石欣冉、钮永涛、李双钰、王滢、王绒雪。</w:t>
      </w:r>
    </w:p>
    <w:p w:rsidR="00C65152" w:rsidRDefault="00372EC6">
      <w:pPr>
        <w:ind w:firstLine="570"/>
        <w:rPr>
          <w:rFonts w:ascii="宋体" w:hAnsi="宋体"/>
          <w:sz w:val="28"/>
          <w:szCs w:val="28"/>
        </w:rPr>
      </w:pPr>
      <w:r>
        <w:rPr>
          <w:rFonts w:ascii="宋体" w:hAnsi="宋体" w:hint="eastAsia"/>
          <w:sz w:val="28"/>
          <w:szCs w:val="28"/>
        </w:rPr>
        <w:t>所做的工作：赵君楠</w:t>
      </w:r>
      <w:r>
        <w:rPr>
          <w:rFonts w:ascii="宋体" w:hAnsi="宋体" w:hint="eastAsia"/>
          <w:kern w:val="0"/>
          <w:sz w:val="28"/>
          <w:szCs w:val="28"/>
        </w:rPr>
        <w:t>任起草工作组组长，全面负责标准起草工作协调、重大问题解决等。</w:t>
      </w:r>
      <w:r>
        <w:rPr>
          <w:rFonts w:ascii="宋体" w:hAnsi="宋体" w:hint="eastAsia"/>
          <w:sz w:val="28"/>
          <w:szCs w:val="28"/>
        </w:rPr>
        <w:t>陈伟、杨丽梅、徐俊辉</w:t>
      </w:r>
      <w:r w:rsidR="00340F44">
        <w:rPr>
          <w:rFonts w:ascii="宋体" w:hAnsi="宋体" w:hint="eastAsia"/>
          <w:sz w:val="28"/>
          <w:szCs w:val="28"/>
        </w:rPr>
        <w:t>、</w:t>
      </w:r>
      <w:r w:rsidR="00AB2351">
        <w:rPr>
          <w:rFonts w:ascii="宋体" w:hAnsi="宋体" w:hint="eastAsia"/>
          <w:sz w:val="28"/>
          <w:szCs w:val="28"/>
        </w:rPr>
        <w:t>蒋华彬、</w:t>
      </w:r>
      <w:r w:rsidR="00340F44">
        <w:rPr>
          <w:rFonts w:ascii="宋体" w:hAnsi="宋体" w:hint="eastAsia"/>
          <w:sz w:val="28"/>
          <w:szCs w:val="28"/>
        </w:rPr>
        <w:t>钮永涛</w:t>
      </w:r>
      <w:r>
        <w:rPr>
          <w:rFonts w:ascii="宋体" w:hAnsi="宋体" w:hint="eastAsia"/>
          <w:kern w:val="0"/>
          <w:sz w:val="28"/>
          <w:szCs w:val="28"/>
        </w:rPr>
        <w:t>负责市场调研、产品信息收集、生产工艺考察、标准内容起草等工作，</w:t>
      </w:r>
      <w:r>
        <w:rPr>
          <w:rFonts w:ascii="宋体" w:hAnsi="宋体" w:hint="eastAsia"/>
          <w:sz w:val="28"/>
          <w:szCs w:val="28"/>
        </w:rPr>
        <w:t>李双钰、石欣冉、王滢负责试验验证，标准内容起草等工作，王绒雪</w:t>
      </w:r>
      <w:r>
        <w:rPr>
          <w:rFonts w:ascii="宋体" w:hAnsi="宋体" w:hint="eastAsia"/>
          <w:kern w:val="0"/>
          <w:sz w:val="28"/>
          <w:szCs w:val="28"/>
        </w:rPr>
        <w:t>负责国内外文献查阅、标准编制及事务性联系等工作。</w:t>
      </w:r>
    </w:p>
    <w:p w:rsidR="00C65152" w:rsidRDefault="00372EC6">
      <w:pPr>
        <w:spacing w:before="240" w:line="360" w:lineRule="atLeast"/>
        <w:rPr>
          <w:rFonts w:ascii="宋体"/>
          <w:b/>
          <w:kern w:val="0"/>
          <w:sz w:val="28"/>
          <w:szCs w:val="28"/>
        </w:rPr>
      </w:pPr>
      <w:r>
        <w:rPr>
          <w:rFonts w:ascii="宋体" w:hAnsi="宋体" w:hint="eastAsia"/>
          <w:b/>
          <w:kern w:val="0"/>
          <w:sz w:val="28"/>
          <w:szCs w:val="28"/>
        </w:rPr>
        <w:t>二、标准编制原则和主要内容</w:t>
      </w:r>
    </w:p>
    <w:p w:rsidR="00C65152" w:rsidRDefault="00372EC6">
      <w:pPr>
        <w:spacing w:before="240" w:line="360" w:lineRule="atLeast"/>
        <w:rPr>
          <w:rFonts w:ascii="宋体"/>
          <w:b/>
          <w:kern w:val="0"/>
          <w:sz w:val="28"/>
          <w:szCs w:val="28"/>
        </w:rPr>
      </w:pPr>
      <w:r>
        <w:rPr>
          <w:rFonts w:ascii="宋体" w:hAnsi="宋体"/>
          <w:b/>
          <w:kern w:val="0"/>
          <w:sz w:val="28"/>
          <w:szCs w:val="28"/>
        </w:rPr>
        <w:t>1</w:t>
      </w:r>
      <w:r>
        <w:rPr>
          <w:rFonts w:ascii="宋体" w:hAnsi="宋体" w:hint="eastAsia"/>
          <w:b/>
          <w:kern w:val="0"/>
          <w:sz w:val="28"/>
          <w:szCs w:val="28"/>
        </w:rPr>
        <w:t>标准编制原则</w:t>
      </w:r>
    </w:p>
    <w:p w:rsidR="00C65152" w:rsidRDefault="00372EC6">
      <w:pPr>
        <w:spacing w:before="240"/>
        <w:ind w:firstLineChars="197" w:firstLine="552"/>
        <w:rPr>
          <w:rFonts w:ascii="宋体"/>
          <w:b/>
          <w:kern w:val="0"/>
          <w:sz w:val="28"/>
          <w:szCs w:val="28"/>
        </w:rPr>
      </w:pPr>
      <w:r>
        <w:rPr>
          <w:rFonts w:ascii="宋体" w:hAnsi="宋体" w:hint="eastAsia"/>
          <w:kern w:val="0"/>
          <w:sz w:val="28"/>
          <w:szCs w:val="28"/>
        </w:rPr>
        <w:t>本次标准修订贴合行业产业发展实际需求，全面结合当前产业发展现状、未来发展趋势，兼顾产品生产端与使用端双方诉求，严格遵循先进性、科学性、合理性与可操作性原则开展制订工作。同时，标准整体框架结构、条文内容编排均按照“标准化工作导则、指南和编写规则”系列国家标准相关要求组织撰写。</w:t>
      </w:r>
    </w:p>
    <w:p w:rsidR="00C65152" w:rsidRDefault="00372EC6">
      <w:pPr>
        <w:spacing w:before="240" w:line="360" w:lineRule="atLeast"/>
        <w:rPr>
          <w:rFonts w:ascii="宋体"/>
          <w:b/>
          <w:kern w:val="0"/>
          <w:sz w:val="28"/>
          <w:szCs w:val="28"/>
        </w:rPr>
      </w:pPr>
      <w:r>
        <w:rPr>
          <w:rFonts w:ascii="宋体" w:hAnsi="宋体"/>
          <w:b/>
          <w:kern w:val="0"/>
          <w:sz w:val="28"/>
          <w:szCs w:val="28"/>
        </w:rPr>
        <w:lastRenderedPageBreak/>
        <w:t>2</w:t>
      </w:r>
      <w:r>
        <w:rPr>
          <w:rFonts w:ascii="宋体" w:hAnsi="宋体" w:hint="eastAsia"/>
          <w:b/>
          <w:kern w:val="0"/>
          <w:sz w:val="28"/>
          <w:szCs w:val="28"/>
        </w:rPr>
        <w:t>标准主要内容</w:t>
      </w:r>
    </w:p>
    <w:p w:rsidR="00C65152" w:rsidRDefault="00372EC6">
      <w:pPr>
        <w:shd w:val="clear" w:color="auto" w:fill="FFFFFF"/>
        <w:spacing w:before="240" w:line="360" w:lineRule="auto"/>
        <w:ind w:firstLineChars="202" w:firstLine="566"/>
        <w:jc w:val="left"/>
        <w:textAlignment w:val="top"/>
        <w:rPr>
          <w:sz w:val="28"/>
          <w:szCs w:val="28"/>
        </w:rPr>
      </w:pPr>
      <w:r>
        <w:rPr>
          <w:sz w:val="28"/>
          <w:szCs w:val="28"/>
        </w:rPr>
        <w:t>本</w:t>
      </w:r>
      <w:r>
        <w:rPr>
          <w:rFonts w:hint="eastAsia"/>
          <w:sz w:val="28"/>
          <w:szCs w:val="28"/>
        </w:rPr>
        <w:t>标准描述了</w:t>
      </w:r>
      <w:r>
        <w:rPr>
          <w:rFonts w:ascii="宋体" w:hAnsi="宋体" w:hint="eastAsia"/>
          <w:sz w:val="28"/>
          <w:szCs w:val="28"/>
        </w:rPr>
        <w:t>果蔬洗涤盐</w:t>
      </w:r>
      <w:r>
        <w:rPr>
          <w:rFonts w:hint="eastAsia"/>
          <w:sz w:val="28"/>
          <w:szCs w:val="28"/>
        </w:rPr>
        <w:t>的术语和定义、要求、试验方法、检验规则、判定规则、标志、包装、运输、贮存。</w:t>
      </w:r>
    </w:p>
    <w:p w:rsidR="00C65152" w:rsidRDefault="00372EC6">
      <w:pPr>
        <w:shd w:val="clear" w:color="auto" w:fill="FFFFFF"/>
        <w:spacing w:before="240" w:line="360" w:lineRule="auto"/>
        <w:ind w:firstLineChars="200" w:firstLine="560"/>
        <w:jc w:val="left"/>
        <w:textAlignment w:val="top"/>
        <w:rPr>
          <w:sz w:val="28"/>
          <w:szCs w:val="28"/>
        </w:rPr>
      </w:pPr>
      <w:r>
        <w:rPr>
          <w:rFonts w:hint="eastAsia"/>
          <w:sz w:val="28"/>
          <w:szCs w:val="28"/>
        </w:rPr>
        <w:t>本标准适用于以食用盐为主原料，添加助洗剂、表面活性剂或其它辅料，用于清洁水果蔬菜的果蔬洗涤盐。</w:t>
      </w:r>
    </w:p>
    <w:p w:rsidR="00C65152" w:rsidRDefault="00372EC6">
      <w:pPr>
        <w:shd w:val="clear" w:color="auto" w:fill="FFFFFF"/>
        <w:spacing w:before="240" w:line="360" w:lineRule="auto"/>
        <w:jc w:val="left"/>
        <w:textAlignment w:val="top"/>
        <w:rPr>
          <w:rFonts w:ascii="宋体"/>
          <w:b/>
          <w:kern w:val="0"/>
          <w:sz w:val="28"/>
          <w:szCs w:val="28"/>
        </w:rPr>
      </w:pPr>
      <w:r>
        <w:rPr>
          <w:rFonts w:ascii="宋体"/>
          <w:b/>
          <w:kern w:val="0"/>
          <w:sz w:val="28"/>
          <w:szCs w:val="28"/>
        </w:rPr>
        <w:t>2.1</w:t>
      </w:r>
      <w:r>
        <w:rPr>
          <w:rFonts w:ascii="宋体" w:hint="eastAsia"/>
          <w:b/>
          <w:kern w:val="0"/>
          <w:sz w:val="28"/>
          <w:szCs w:val="28"/>
        </w:rPr>
        <w:t>术语和定义</w:t>
      </w:r>
    </w:p>
    <w:p w:rsidR="00C65152" w:rsidRDefault="00372EC6">
      <w:pPr>
        <w:pStyle w:val="af1"/>
        <w:ind w:firstLine="560"/>
        <w:rPr>
          <w:sz w:val="28"/>
          <w:szCs w:val="28"/>
        </w:rPr>
      </w:pPr>
      <w:r>
        <w:rPr>
          <w:sz w:val="28"/>
          <w:szCs w:val="28"/>
        </w:rPr>
        <w:t>本标准给出了</w:t>
      </w:r>
      <w:r>
        <w:rPr>
          <w:rFonts w:hint="eastAsia"/>
          <w:sz w:val="28"/>
          <w:szCs w:val="28"/>
        </w:rPr>
        <w:t>果蔬洗涤盐</w:t>
      </w:r>
      <w:r>
        <w:rPr>
          <w:sz w:val="28"/>
          <w:szCs w:val="28"/>
        </w:rPr>
        <w:t>的定义</w:t>
      </w:r>
      <w:r>
        <w:rPr>
          <w:sz w:val="28"/>
          <w:szCs w:val="28"/>
        </w:rPr>
        <w:t>“</w:t>
      </w:r>
      <w:r>
        <w:rPr>
          <w:rFonts w:hint="eastAsia"/>
          <w:sz w:val="28"/>
          <w:szCs w:val="28"/>
        </w:rPr>
        <w:t>以食盐为主要成分，用来洗涤瓜果、蔬菜的盐产品</w:t>
      </w:r>
      <w:r>
        <w:rPr>
          <w:sz w:val="28"/>
          <w:szCs w:val="28"/>
        </w:rPr>
        <w:t>”</w:t>
      </w:r>
      <w:r>
        <w:rPr>
          <w:sz w:val="28"/>
          <w:szCs w:val="28"/>
        </w:rPr>
        <w:t>，明确了</w:t>
      </w:r>
      <w:r>
        <w:rPr>
          <w:rFonts w:hint="eastAsia"/>
          <w:sz w:val="28"/>
          <w:szCs w:val="28"/>
        </w:rPr>
        <w:t>主要成分及作用</w:t>
      </w:r>
      <w:r>
        <w:rPr>
          <w:sz w:val="28"/>
          <w:szCs w:val="28"/>
        </w:rPr>
        <w:t>。</w:t>
      </w:r>
    </w:p>
    <w:p w:rsidR="00C65152" w:rsidRDefault="00372EC6">
      <w:pPr>
        <w:shd w:val="clear" w:color="auto" w:fill="FFFFFF"/>
        <w:spacing w:before="240" w:line="360" w:lineRule="auto"/>
        <w:jc w:val="left"/>
        <w:textAlignment w:val="top"/>
        <w:rPr>
          <w:rFonts w:asciiTheme="minorEastAsia" w:eastAsiaTheme="minorEastAsia" w:hAnsiTheme="minorEastAsia"/>
          <w:b/>
          <w:sz w:val="28"/>
          <w:szCs w:val="28"/>
        </w:rPr>
      </w:pPr>
      <w:r>
        <w:rPr>
          <w:rFonts w:asciiTheme="minorEastAsia" w:eastAsiaTheme="minorEastAsia" w:hAnsiTheme="minorEastAsia" w:hint="eastAsia"/>
          <w:b/>
          <w:sz w:val="28"/>
          <w:szCs w:val="28"/>
        </w:rPr>
        <w:t>2</w:t>
      </w:r>
      <w:r>
        <w:rPr>
          <w:rFonts w:asciiTheme="minorEastAsia" w:eastAsiaTheme="minorEastAsia" w:hAnsiTheme="minorEastAsia"/>
          <w:b/>
          <w:sz w:val="28"/>
          <w:szCs w:val="28"/>
        </w:rPr>
        <w:t>.2</w:t>
      </w:r>
      <w:r>
        <w:rPr>
          <w:rFonts w:asciiTheme="minorEastAsia" w:eastAsiaTheme="minorEastAsia" w:hAnsiTheme="minorEastAsia" w:hint="eastAsia"/>
          <w:b/>
          <w:sz w:val="28"/>
          <w:szCs w:val="28"/>
        </w:rPr>
        <w:t>要求</w:t>
      </w:r>
    </w:p>
    <w:p w:rsidR="00C65152" w:rsidRDefault="00372EC6">
      <w:pPr>
        <w:spacing w:before="240" w:line="360" w:lineRule="auto"/>
        <w:ind w:firstLine="560"/>
        <w:rPr>
          <w:sz w:val="28"/>
          <w:szCs w:val="28"/>
        </w:rPr>
      </w:pPr>
      <w:r>
        <w:rPr>
          <w:sz w:val="28"/>
          <w:szCs w:val="28"/>
        </w:rPr>
        <w:t>本标准对</w:t>
      </w:r>
      <w:r>
        <w:rPr>
          <w:rFonts w:ascii="宋体" w:hint="eastAsia"/>
          <w:kern w:val="0"/>
          <w:sz w:val="28"/>
          <w:szCs w:val="28"/>
        </w:rPr>
        <w:t>果蔬洗涤盐</w:t>
      </w:r>
      <w:r>
        <w:rPr>
          <w:sz w:val="28"/>
          <w:szCs w:val="28"/>
        </w:rPr>
        <w:t>的</w:t>
      </w:r>
      <w:r>
        <w:rPr>
          <w:rFonts w:hint="eastAsia"/>
          <w:sz w:val="28"/>
          <w:szCs w:val="28"/>
        </w:rPr>
        <w:t>原料盐</w:t>
      </w:r>
      <w:r>
        <w:rPr>
          <w:sz w:val="28"/>
          <w:szCs w:val="28"/>
        </w:rPr>
        <w:t>要求、感官要求、理化指标、</w:t>
      </w:r>
      <w:r>
        <w:rPr>
          <w:rFonts w:hint="eastAsia"/>
          <w:sz w:val="28"/>
          <w:szCs w:val="28"/>
        </w:rPr>
        <w:t>性能指标、</w:t>
      </w:r>
      <w:r>
        <w:rPr>
          <w:sz w:val="28"/>
          <w:szCs w:val="28"/>
        </w:rPr>
        <w:t>污染物</w:t>
      </w:r>
      <w:r>
        <w:rPr>
          <w:rFonts w:hint="eastAsia"/>
          <w:sz w:val="28"/>
          <w:szCs w:val="28"/>
        </w:rPr>
        <w:t>指标</w:t>
      </w:r>
      <w:r>
        <w:rPr>
          <w:sz w:val="28"/>
          <w:szCs w:val="28"/>
        </w:rPr>
        <w:t>、净含量</w:t>
      </w:r>
      <w:r>
        <w:rPr>
          <w:rFonts w:hint="eastAsia"/>
          <w:sz w:val="28"/>
          <w:szCs w:val="28"/>
        </w:rPr>
        <w:t>要求</w:t>
      </w:r>
      <w:r>
        <w:rPr>
          <w:sz w:val="28"/>
          <w:szCs w:val="28"/>
        </w:rPr>
        <w:t>等进行了规定。</w:t>
      </w:r>
    </w:p>
    <w:p w:rsidR="00C65152" w:rsidRDefault="00372EC6">
      <w:pPr>
        <w:spacing w:before="240" w:line="360" w:lineRule="auto"/>
        <w:rPr>
          <w:rFonts w:asciiTheme="minorEastAsia" w:eastAsiaTheme="minorEastAsia" w:hAnsiTheme="minorEastAsia"/>
          <w:b/>
          <w:sz w:val="28"/>
          <w:szCs w:val="28"/>
        </w:rPr>
      </w:pPr>
      <w:r>
        <w:rPr>
          <w:rFonts w:asciiTheme="minorEastAsia" w:eastAsiaTheme="minorEastAsia" w:hAnsiTheme="minorEastAsia" w:hint="eastAsia"/>
          <w:b/>
          <w:sz w:val="28"/>
          <w:szCs w:val="28"/>
        </w:rPr>
        <w:t>2</w:t>
      </w:r>
      <w:r>
        <w:rPr>
          <w:rFonts w:asciiTheme="minorEastAsia" w:eastAsiaTheme="minorEastAsia" w:hAnsiTheme="minorEastAsia"/>
          <w:b/>
          <w:sz w:val="28"/>
          <w:szCs w:val="28"/>
        </w:rPr>
        <w:t>.2.1原辅料要求</w:t>
      </w:r>
    </w:p>
    <w:p w:rsidR="00C65152" w:rsidRDefault="00372EC6">
      <w:pPr>
        <w:spacing w:before="240" w:line="360" w:lineRule="auto"/>
        <w:ind w:firstLineChars="200" w:firstLine="560"/>
        <w:rPr>
          <w:sz w:val="28"/>
          <w:szCs w:val="28"/>
        </w:rPr>
      </w:pPr>
      <w:r>
        <w:rPr>
          <w:rFonts w:ascii="宋体" w:hint="eastAsia"/>
          <w:kern w:val="0"/>
          <w:sz w:val="28"/>
          <w:szCs w:val="28"/>
        </w:rPr>
        <w:t>果蔬洗涤盐</w:t>
      </w:r>
      <w:r>
        <w:rPr>
          <w:rFonts w:hint="eastAsia"/>
          <w:sz w:val="28"/>
          <w:szCs w:val="28"/>
        </w:rPr>
        <w:t>作为一种洗涤瓜果、蔬菜的产品，与食品直接接触，因此本标准规定</w:t>
      </w:r>
      <w:r>
        <w:rPr>
          <w:rFonts w:ascii="宋体" w:hint="eastAsia"/>
          <w:kern w:val="0"/>
          <w:sz w:val="28"/>
          <w:szCs w:val="28"/>
        </w:rPr>
        <w:t>其原料盐需满足GB 2721要求。其它原料需满足GB 14930.1中规定的A类产品要求。</w:t>
      </w:r>
    </w:p>
    <w:p w:rsidR="00C65152" w:rsidRDefault="00372EC6">
      <w:pPr>
        <w:spacing w:before="240" w:line="360" w:lineRule="auto"/>
        <w:rPr>
          <w:rFonts w:asciiTheme="minorEastAsia" w:eastAsiaTheme="minorEastAsia" w:hAnsiTheme="minorEastAsia"/>
          <w:b/>
          <w:sz w:val="28"/>
          <w:szCs w:val="28"/>
        </w:rPr>
      </w:pPr>
      <w:r>
        <w:rPr>
          <w:rFonts w:asciiTheme="minorEastAsia" w:eastAsiaTheme="minorEastAsia" w:hAnsiTheme="minorEastAsia" w:hint="eastAsia"/>
          <w:b/>
          <w:sz w:val="28"/>
          <w:szCs w:val="28"/>
        </w:rPr>
        <w:t>2</w:t>
      </w:r>
      <w:r>
        <w:rPr>
          <w:rFonts w:asciiTheme="minorEastAsia" w:eastAsiaTheme="minorEastAsia" w:hAnsiTheme="minorEastAsia"/>
          <w:b/>
          <w:sz w:val="28"/>
          <w:szCs w:val="28"/>
        </w:rPr>
        <w:t>.2.2感官要求</w:t>
      </w:r>
    </w:p>
    <w:p w:rsidR="00C65152" w:rsidRDefault="00372EC6">
      <w:pPr>
        <w:spacing w:before="240" w:line="360" w:lineRule="auto"/>
        <w:ind w:firstLineChars="200" w:firstLine="560"/>
        <w:rPr>
          <w:sz w:val="28"/>
          <w:szCs w:val="28"/>
        </w:rPr>
      </w:pPr>
      <w:bookmarkStart w:id="1" w:name="_Hlk69043768"/>
      <w:r>
        <w:rPr>
          <w:rFonts w:hint="eastAsia"/>
          <w:sz w:val="28"/>
          <w:szCs w:val="28"/>
        </w:rPr>
        <w:t>本标准要求产品感官无异味，且无肉眼可见外来异物</w:t>
      </w:r>
      <w:r>
        <w:rPr>
          <w:sz w:val="28"/>
          <w:szCs w:val="28"/>
        </w:rPr>
        <w:t>。</w:t>
      </w:r>
      <w:bookmarkEnd w:id="1"/>
      <w:r>
        <w:rPr>
          <w:rFonts w:hint="eastAsia"/>
          <w:sz w:val="28"/>
          <w:szCs w:val="28"/>
        </w:rPr>
        <w:t>参考了《食品安全国家标准</w:t>
      </w:r>
      <w:r>
        <w:rPr>
          <w:rFonts w:hint="eastAsia"/>
          <w:sz w:val="28"/>
          <w:szCs w:val="28"/>
        </w:rPr>
        <w:t xml:space="preserve"> </w:t>
      </w:r>
      <w:r>
        <w:rPr>
          <w:rFonts w:hint="eastAsia"/>
          <w:sz w:val="28"/>
          <w:szCs w:val="28"/>
        </w:rPr>
        <w:t>食用盐》中感官要求。</w:t>
      </w:r>
    </w:p>
    <w:p w:rsidR="00C65152" w:rsidRDefault="00372EC6">
      <w:pPr>
        <w:spacing w:before="240" w:line="360" w:lineRule="auto"/>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2</w:t>
      </w:r>
      <w:r>
        <w:rPr>
          <w:rFonts w:asciiTheme="minorEastAsia" w:eastAsiaTheme="minorEastAsia" w:hAnsiTheme="minorEastAsia"/>
          <w:b/>
          <w:sz w:val="28"/>
          <w:szCs w:val="28"/>
        </w:rPr>
        <w:t>.2.3</w:t>
      </w:r>
      <w:r>
        <w:rPr>
          <w:rFonts w:asciiTheme="minorEastAsia" w:eastAsiaTheme="minorEastAsia" w:hAnsiTheme="minorEastAsia" w:hint="eastAsia"/>
          <w:b/>
          <w:sz w:val="28"/>
          <w:szCs w:val="28"/>
        </w:rPr>
        <w:t>理化指标</w:t>
      </w:r>
    </w:p>
    <w:p w:rsidR="00C65152" w:rsidRDefault="00372EC6">
      <w:pPr>
        <w:spacing w:before="240" w:line="360" w:lineRule="auto"/>
        <w:ind w:firstLine="560"/>
        <w:rPr>
          <w:sz w:val="28"/>
          <w:szCs w:val="28"/>
        </w:rPr>
      </w:pPr>
      <w:r>
        <w:rPr>
          <w:sz w:val="28"/>
          <w:szCs w:val="28"/>
        </w:rPr>
        <w:t>本标准规定了氯化钠、</w:t>
      </w:r>
      <w:r>
        <w:rPr>
          <w:rFonts w:hint="eastAsia"/>
          <w:sz w:val="28"/>
          <w:szCs w:val="28"/>
        </w:rPr>
        <w:t>水不溶物</w:t>
      </w:r>
      <w:r>
        <w:rPr>
          <w:sz w:val="28"/>
          <w:szCs w:val="28"/>
        </w:rPr>
        <w:t>、</w:t>
      </w:r>
      <w:r>
        <w:rPr>
          <w:rFonts w:hint="eastAsia"/>
          <w:sz w:val="28"/>
          <w:szCs w:val="28"/>
        </w:rPr>
        <w:t>pH</w:t>
      </w:r>
      <w:r>
        <w:rPr>
          <w:sz w:val="28"/>
          <w:szCs w:val="28"/>
        </w:rPr>
        <w:t>、</w:t>
      </w:r>
      <w:r>
        <w:rPr>
          <w:rFonts w:hint="eastAsia"/>
          <w:sz w:val="28"/>
          <w:szCs w:val="28"/>
        </w:rPr>
        <w:t>总活性物</w:t>
      </w:r>
      <w:r>
        <w:rPr>
          <w:sz w:val="28"/>
          <w:szCs w:val="28"/>
        </w:rPr>
        <w:t>等指标要求。</w:t>
      </w:r>
    </w:p>
    <w:p w:rsidR="00C65152" w:rsidRDefault="00372EC6">
      <w:pPr>
        <w:spacing w:before="240" w:line="360" w:lineRule="auto"/>
        <w:ind w:firstLine="560"/>
        <w:rPr>
          <w:rFonts w:ascii="宋体" w:hAnsi="宋体"/>
          <w:sz w:val="28"/>
          <w:szCs w:val="28"/>
        </w:rPr>
      </w:pPr>
      <w:r>
        <w:rPr>
          <w:rFonts w:hint="eastAsia"/>
          <w:sz w:val="28"/>
          <w:szCs w:val="28"/>
        </w:rPr>
        <w:t>氯化钠指标要求。</w:t>
      </w:r>
      <w:r>
        <w:rPr>
          <w:sz w:val="28"/>
          <w:szCs w:val="28"/>
        </w:rPr>
        <w:t>根据产品特点和定义</w:t>
      </w:r>
      <w:r>
        <w:rPr>
          <w:rFonts w:hint="eastAsia"/>
          <w:sz w:val="28"/>
          <w:szCs w:val="28"/>
        </w:rPr>
        <w:t>，即“以食盐为主要成分”</w:t>
      </w:r>
      <w:r>
        <w:rPr>
          <w:sz w:val="28"/>
          <w:szCs w:val="28"/>
        </w:rPr>
        <w:t>，</w:t>
      </w:r>
      <w:r>
        <w:rPr>
          <w:rFonts w:hint="eastAsia"/>
          <w:sz w:val="28"/>
          <w:szCs w:val="28"/>
        </w:rPr>
        <w:t>所以</w:t>
      </w:r>
      <w:r>
        <w:rPr>
          <w:sz w:val="28"/>
          <w:szCs w:val="28"/>
        </w:rPr>
        <w:t>本标准将氯化钠指标要求规定为大于等于</w:t>
      </w:r>
      <w:r>
        <w:rPr>
          <w:rFonts w:ascii="宋体" w:hAnsi="宋体" w:hint="eastAsia"/>
          <w:sz w:val="28"/>
          <w:szCs w:val="28"/>
        </w:rPr>
        <w:t>50g/100g</w:t>
      </w:r>
      <w:r>
        <w:rPr>
          <w:rFonts w:hint="eastAsia"/>
          <w:sz w:val="28"/>
          <w:szCs w:val="28"/>
        </w:rPr>
        <w:t>。同时</w:t>
      </w:r>
      <w:r>
        <w:rPr>
          <w:rFonts w:ascii="宋体" w:hAnsi="宋体" w:hint="eastAsia"/>
          <w:sz w:val="28"/>
          <w:szCs w:val="28"/>
        </w:rPr>
        <w:t>标准起草工作组根据检测的98个果蔬洗涤盐样品氯化钠含量进行了统计，有88个样品中氯化钠含量大于等于50g/100g</w:t>
      </w:r>
      <w:r>
        <w:rPr>
          <w:rFonts w:hint="eastAsia"/>
          <w:sz w:val="28"/>
          <w:szCs w:val="28"/>
        </w:rPr>
        <w:t>，占比</w:t>
      </w:r>
      <w:r>
        <w:rPr>
          <w:rFonts w:ascii="宋体" w:hAnsi="宋体" w:hint="eastAsia"/>
          <w:sz w:val="28"/>
          <w:szCs w:val="28"/>
        </w:rPr>
        <w:t>89.8%</w:t>
      </w:r>
      <w:r>
        <w:rPr>
          <w:rFonts w:hint="eastAsia"/>
          <w:sz w:val="28"/>
          <w:szCs w:val="28"/>
        </w:rPr>
        <w:t>，具体</w:t>
      </w:r>
      <w:r>
        <w:rPr>
          <w:rFonts w:ascii="宋体" w:hAnsi="宋体" w:hint="eastAsia"/>
          <w:sz w:val="28"/>
          <w:szCs w:val="28"/>
        </w:rPr>
        <w:t>数据见表1、图1。</w:t>
      </w:r>
    </w:p>
    <w:p w:rsidR="00C65152" w:rsidRDefault="00372EC6">
      <w:pPr>
        <w:spacing w:before="240" w:line="360" w:lineRule="auto"/>
        <w:jc w:val="center"/>
        <w:rPr>
          <w:rFonts w:ascii="宋体" w:hAnsi="宋体"/>
          <w:sz w:val="28"/>
          <w:szCs w:val="28"/>
        </w:rPr>
      </w:pPr>
      <w:r>
        <w:rPr>
          <w:rFonts w:ascii="宋体" w:hAnsi="宋体" w:hint="eastAsia"/>
          <w:sz w:val="28"/>
          <w:szCs w:val="28"/>
        </w:rPr>
        <w:t>表1满足本标准要求的氯化钠含量数据表</w:t>
      </w:r>
    </w:p>
    <w:tbl>
      <w:tblPr>
        <w:tblW w:w="7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93"/>
        <w:gridCol w:w="850"/>
        <w:gridCol w:w="1593"/>
        <w:gridCol w:w="850"/>
        <w:gridCol w:w="1593"/>
      </w:tblGrid>
      <w:tr w:rsidR="00C65152">
        <w:trPr>
          <w:trHeight w:val="272"/>
          <w:tblHeader/>
          <w:jc w:val="center"/>
        </w:trPr>
        <w:tc>
          <w:tcPr>
            <w:tcW w:w="850"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氯化钠含量（g/100g）</w:t>
            </w:r>
          </w:p>
        </w:tc>
        <w:tc>
          <w:tcPr>
            <w:tcW w:w="850"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氯化钠含量（g/100g）</w:t>
            </w:r>
          </w:p>
        </w:tc>
        <w:tc>
          <w:tcPr>
            <w:tcW w:w="850"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氯化钠含量（g/100g）</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60.058</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58.456</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59.240</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81.436</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62.462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61.540</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82.715</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94.434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98.575</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99.307</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58.858</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85.722</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80.237</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60.637</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78.866</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98.440</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96.787</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81.467</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79.509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80.776</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61.128</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99.456</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98.852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92.807</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99.312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98.547</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94.560</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80.084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62.814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57.300</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98.539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62.741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62.170</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90.079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93.965</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60.800</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52.836</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89.603</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59.713</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74.771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64.519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99.117</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73.154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86.217</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84.568</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99.627</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59.824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94.425</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89.942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77.693</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99.672</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81.126</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81.558</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92.740</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99.169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99.337</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94.858</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98.553</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77.092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96.896</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93.305</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87.865</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62.409</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85.536</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98.694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94.347</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95.283</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59.811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61.258</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lastRenderedPageBreak/>
              <w:t>24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65.771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99.312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99.146</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58.239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78.577</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73.318</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77.356</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93.305</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97.185</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60.121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81.149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61.397</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63.072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81.390</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95.778</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62.066</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50.345</w:t>
            </w:r>
          </w:p>
        </w:tc>
        <w:tc>
          <w:tcPr>
            <w:tcW w:w="850" w:type="dxa"/>
            <w:tcBorders>
              <w:tl2br w:val="nil"/>
              <w:tr2bl w:val="nil"/>
            </w:tcBorders>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c>
          <w:tcPr>
            <w:tcW w:w="1593" w:type="dxa"/>
            <w:tcBorders>
              <w:tl2br w:val="nil"/>
              <w:tr2bl w:val="nil"/>
            </w:tcBorders>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r>
      <w:tr w:rsidR="00C65152">
        <w:trPr>
          <w:trHeight w:val="272"/>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57.467</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79.115</w:t>
            </w:r>
          </w:p>
        </w:tc>
        <w:tc>
          <w:tcPr>
            <w:tcW w:w="850" w:type="dxa"/>
            <w:tcBorders>
              <w:tl2br w:val="nil"/>
              <w:tr2bl w:val="nil"/>
            </w:tcBorders>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c>
          <w:tcPr>
            <w:tcW w:w="1593" w:type="dxa"/>
            <w:tcBorders>
              <w:tl2br w:val="nil"/>
              <w:tr2bl w:val="nil"/>
            </w:tcBorders>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r>
    </w:tbl>
    <w:p w:rsidR="00C65152" w:rsidRDefault="00372EC6">
      <w:pPr>
        <w:spacing w:before="240" w:line="360" w:lineRule="auto"/>
        <w:jc w:val="center"/>
        <w:rPr>
          <w:sz w:val="28"/>
          <w:szCs w:val="28"/>
        </w:rPr>
      </w:pPr>
      <w:r>
        <w:rPr>
          <w:noProof/>
        </w:rPr>
        <mc:AlternateContent>
          <mc:Choice Requires="wps">
            <w:drawing>
              <wp:anchor distT="0" distB="0" distL="114300" distR="114300" simplePos="0" relativeHeight="251665408" behindDoc="0" locked="0" layoutInCell="1" allowOverlap="1">
                <wp:simplePos x="0" y="0"/>
                <wp:positionH relativeFrom="column">
                  <wp:posOffset>4864100</wp:posOffset>
                </wp:positionH>
                <wp:positionV relativeFrom="paragraph">
                  <wp:posOffset>1500505</wp:posOffset>
                </wp:positionV>
                <wp:extent cx="427990" cy="278130"/>
                <wp:effectExtent l="0" t="0" r="0" b="0"/>
                <wp:wrapNone/>
                <wp:docPr id="14" name="文本框 12"/>
                <wp:cNvGraphicFramePr/>
                <a:graphic xmlns:a="http://schemas.openxmlformats.org/drawingml/2006/main">
                  <a:graphicData uri="http://schemas.microsoft.com/office/word/2010/wordprocessingShape">
                    <wps:wsp>
                      <wps:cNvSpPr txBox="1"/>
                      <wps:spPr>
                        <a:xfrm>
                          <a:off x="0" y="0"/>
                          <a:ext cx="427990" cy="278130"/>
                        </a:xfrm>
                        <a:prstGeom prst="rect">
                          <a:avLst/>
                        </a:prstGeom>
                        <a:noFill/>
                        <a:ln>
                          <a:noFill/>
                        </a:ln>
                      </wps:spPr>
                      <wps:txbx>
                        <w:txbxContent>
                          <w:p w:rsidR="00C65152" w:rsidRDefault="00372EC6">
                            <w:pPr>
                              <w:spacing w:line="240" w:lineRule="atLeast"/>
                              <w:rPr>
                                <w:color w:val="FF0000"/>
                                <w:sz w:val="16"/>
                                <w:szCs w:val="18"/>
                              </w:rPr>
                            </w:pPr>
                            <w:r>
                              <w:rPr>
                                <w:rFonts w:hint="eastAsia"/>
                                <w:color w:val="FF0000"/>
                                <w:sz w:val="16"/>
                                <w:szCs w:val="18"/>
                              </w:rPr>
                              <w:t>50</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12" o:spid="_x0000_s1026" type="#_x0000_t202" style="position:absolute;left:0;text-align:left;margin-left:383pt;margin-top:118.15pt;width:33.7pt;height:21.9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" filled="f" stroked="f">
                <v:textbox>
                  <w:txbxContent>
                    <w:p w:rsidR="00C65152" w:rsidRDefault="00372EC6">
                      <w:pPr>
                        <w:spacing w:line="240" w:lineRule="atLeast"/>
                        <w:rPr>
                          <w:color w:val="FF0000"/>
                          <w:sz w:val="16"/>
                          <w:szCs w:val="18"/>
                        </w:rPr>
                      </w:pPr>
                      <w:r>
                        <w:rPr>
                          <w:rFonts w:hint="eastAsia"/>
                          <w:color w:val="FF0000"/>
                          <w:sz w:val="16"/>
                          <w:szCs w:val="18"/>
                        </w:rPr>
                        <w:t>50</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487045</wp:posOffset>
                </wp:positionH>
                <wp:positionV relativeFrom="page">
                  <wp:posOffset>4545330</wp:posOffset>
                </wp:positionV>
                <wp:extent cx="4598670" cy="635"/>
                <wp:effectExtent l="0" t="0" r="0" b="0"/>
                <wp:wrapNone/>
                <wp:docPr id="11" name="直线 9"/>
                <wp:cNvGraphicFramePr/>
                <a:graphic xmlns:a="http://schemas.openxmlformats.org/drawingml/2006/main">
                  <a:graphicData uri="http://schemas.microsoft.com/office/word/2010/wordprocessingShape">
                    <wps:wsp>
                      <wps:cNvCnPr/>
                      <wps:spPr>
                        <a:xfrm flipV="1">
                          <a:off x="0" y="0"/>
                          <a:ext cx="4598670" cy="635"/>
                        </a:xfrm>
                        <a:prstGeom prst="line">
                          <a:avLst/>
                        </a:prstGeom>
                        <a:ln w="9525" cap="flat" cmpd="sng">
                          <a:solidFill>
                            <a:srgbClr val="FF0000"/>
                          </a:solidFill>
                          <a:prstDash val="solid"/>
                          <a:headEnd type="none" w="med" len="med"/>
                          <a:tailEnd type="none" w="med" len="med"/>
                        </a:ln>
                      </wps:spPr>
                      <wps:bodyPr/>
                    </wps:wsp>
                  </a:graphicData>
                </a:graphic>
              </wp:anchor>
            </w:drawing>
          </mc:Choice>
          <mc:Fallback>
            <w:pict>
              <v:line w14:anchorId="688C8497" id="直线 9" o:spid="_x0000_s1026" style="position:absolute;left:0;text-align:left;flip:y;z-index:251662336;visibility:visible;mso-wrap-style:square;mso-wrap-distance-left:9pt;mso-wrap-distance-top:0;mso-wrap-distance-right:9pt;mso-wrap-distance-bottom:0;mso-position-horizontal:absolute;mso-position-horizontal-relative:text;mso-position-vertical:absolute;mso-position-vertical-relative:page" from="38.35pt,357.9pt" to="400.45pt,3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" strokecolor="red">
                <w10:wrap anchory="page"/>
              </v:line>
            </w:pict>
          </mc:Fallback>
        </mc:AlternateContent>
      </w:r>
      <w:r>
        <w:rPr>
          <w:noProof/>
        </w:rPr>
        <w:drawing>
          <wp:inline distT="0" distB="0" distL="114300" distR="114300">
            <wp:extent cx="4925695" cy="2743200"/>
            <wp:effectExtent l="4445" t="4445" r="13335" b="508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65152" w:rsidRDefault="00372EC6">
      <w:pPr>
        <w:spacing w:before="240" w:line="360" w:lineRule="auto"/>
        <w:jc w:val="center"/>
        <w:rPr>
          <w:sz w:val="28"/>
          <w:szCs w:val="28"/>
        </w:rPr>
      </w:pPr>
      <w:r>
        <w:rPr>
          <w:rFonts w:ascii="宋体" w:hAnsi="宋体" w:hint="eastAsia"/>
          <w:sz w:val="28"/>
          <w:szCs w:val="28"/>
        </w:rPr>
        <w:t>图1所检果蔬洗涤盐产品的氯化钠含量</w:t>
      </w:r>
      <w:r>
        <w:rPr>
          <w:rFonts w:hint="eastAsia"/>
          <w:sz w:val="28"/>
          <w:szCs w:val="28"/>
        </w:rPr>
        <w:t>结果散点图</w:t>
      </w:r>
    </w:p>
    <w:p w:rsidR="00C65152" w:rsidRDefault="00372EC6">
      <w:pPr>
        <w:spacing w:before="240" w:line="360" w:lineRule="auto"/>
        <w:ind w:firstLine="560"/>
        <w:rPr>
          <w:rFonts w:ascii="宋体" w:hAnsi="宋体"/>
          <w:sz w:val="28"/>
          <w:szCs w:val="28"/>
        </w:rPr>
      </w:pPr>
      <w:r>
        <w:rPr>
          <w:rFonts w:hint="eastAsia"/>
          <w:sz w:val="28"/>
          <w:szCs w:val="28"/>
        </w:rPr>
        <w:t>水不溶物指标要求。</w:t>
      </w:r>
      <w:r>
        <w:rPr>
          <w:rFonts w:ascii="宋体" w:hAnsi="宋体" w:hint="eastAsia"/>
          <w:sz w:val="28"/>
          <w:szCs w:val="28"/>
        </w:rPr>
        <w:t>标准起草工作组根据检测的55个果蔬洗涤盐样品水不溶物含量进行了统计，有53个样品中水不溶物含量小于等于0.15g/100g</w:t>
      </w:r>
      <w:r>
        <w:rPr>
          <w:rFonts w:hint="eastAsia"/>
          <w:sz w:val="28"/>
          <w:szCs w:val="28"/>
        </w:rPr>
        <w:t>，占比</w:t>
      </w:r>
      <w:r>
        <w:rPr>
          <w:rFonts w:ascii="宋体" w:hAnsi="宋体" w:hint="eastAsia"/>
          <w:sz w:val="28"/>
          <w:szCs w:val="28"/>
        </w:rPr>
        <w:t>96.4%</w:t>
      </w:r>
      <w:r>
        <w:rPr>
          <w:rFonts w:hint="eastAsia"/>
          <w:sz w:val="28"/>
          <w:szCs w:val="28"/>
        </w:rPr>
        <w:t>，具体</w:t>
      </w:r>
      <w:r>
        <w:rPr>
          <w:rFonts w:ascii="宋体" w:hAnsi="宋体" w:hint="eastAsia"/>
          <w:sz w:val="28"/>
          <w:szCs w:val="28"/>
        </w:rPr>
        <w:t>数据见表2、图2。</w:t>
      </w:r>
    </w:p>
    <w:p w:rsidR="00C65152" w:rsidRDefault="00372EC6">
      <w:pPr>
        <w:spacing w:before="240" w:line="360" w:lineRule="auto"/>
        <w:jc w:val="center"/>
        <w:rPr>
          <w:rFonts w:ascii="宋体" w:hAnsi="宋体"/>
          <w:sz w:val="28"/>
          <w:szCs w:val="28"/>
        </w:rPr>
      </w:pPr>
      <w:r>
        <w:rPr>
          <w:rFonts w:ascii="宋体" w:hAnsi="宋体" w:hint="eastAsia"/>
          <w:sz w:val="28"/>
          <w:szCs w:val="28"/>
        </w:rPr>
        <w:t>表2满足本标准要求的水不溶物含量数据表</w:t>
      </w:r>
    </w:p>
    <w:tbl>
      <w:tblPr>
        <w:tblW w:w="7329" w:type="dxa"/>
        <w:jc w:val="center"/>
        <w:tblLook w:val="04A0" w:firstRow="1" w:lastRow="0" w:firstColumn="1" w:lastColumn="0" w:noHBand="0" w:noVBand="1"/>
      </w:tblPr>
      <w:tblGrid>
        <w:gridCol w:w="850"/>
        <w:gridCol w:w="1593"/>
        <w:gridCol w:w="850"/>
        <w:gridCol w:w="1593"/>
        <w:gridCol w:w="850"/>
        <w:gridCol w:w="1593"/>
      </w:tblGrid>
      <w:tr w:rsidR="00C65152">
        <w:trPr>
          <w:trHeight w:val="270"/>
          <w:tblHeader/>
          <w:jc w:val="center"/>
        </w:trPr>
        <w:tc>
          <w:tcPr>
            <w:tcW w:w="850" w:type="dxa"/>
            <w:tcBorders>
              <w:top w:val="single" w:sz="4" w:space="0" w:color="auto"/>
              <w:left w:val="single" w:sz="4" w:space="0" w:color="auto"/>
              <w:bottom w:val="single" w:sz="4" w:space="0" w:color="auto"/>
              <w:right w:val="single" w:sz="4" w:space="0" w:color="auto"/>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水不溶物含量（g/100g）</w:t>
            </w:r>
          </w:p>
        </w:tc>
        <w:tc>
          <w:tcPr>
            <w:tcW w:w="850" w:type="dxa"/>
            <w:tcBorders>
              <w:top w:val="single" w:sz="4" w:space="0" w:color="auto"/>
              <w:left w:val="single" w:sz="4" w:space="0" w:color="auto"/>
              <w:bottom w:val="single" w:sz="4" w:space="0" w:color="auto"/>
              <w:right w:val="single" w:sz="4" w:space="0" w:color="auto"/>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水不溶物含量（g/100g）</w:t>
            </w:r>
          </w:p>
        </w:tc>
        <w:tc>
          <w:tcPr>
            <w:tcW w:w="850" w:type="dxa"/>
            <w:tcBorders>
              <w:top w:val="single" w:sz="4" w:space="0" w:color="auto"/>
              <w:left w:val="single" w:sz="4" w:space="0" w:color="auto"/>
              <w:bottom w:val="single" w:sz="4" w:space="0" w:color="auto"/>
              <w:right w:val="single" w:sz="4" w:space="0" w:color="auto"/>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水不溶物含量（g/100g）</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0.055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19</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37</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38</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0.122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21</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39</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23</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41</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24</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lastRenderedPageBreak/>
              <w:t>7</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43</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26</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44</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0.0491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0.024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27</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45</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0.022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28</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46</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29</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47</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0.15</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0.074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31</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49</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0.03</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14</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33</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51</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34</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0.08</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17</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53</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18</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36</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r>
    </w:tbl>
    <w:p w:rsidR="00C65152" w:rsidRDefault="00372EC6">
      <w:pPr>
        <w:spacing w:before="240" w:line="360" w:lineRule="auto"/>
        <w:jc w:val="center"/>
        <w:rPr>
          <w:rFonts w:ascii="宋体" w:hAnsi="宋体"/>
          <w:sz w:val="28"/>
          <w:szCs w:val="28"/>
        </w:rPr>
      </w:pPr>
      <w:r>
        <w:rPr>
          <w:noProof/>
        </w:rPr>
        <mc:AlternateContent>
          <mc:Choice Requires="wps">
            <w:drawing>
              <wp:anchor distT="0" distB="0" distL="114300" distR="114300" simplePos="0" relativeHeight="251664384" behindDoc="0" locked="0" layoutInCell="1" allowOverlap="1">
                <wp:simplePos x="0" y="0"/>
                <wp:positionH relativeFrom="column">
                  <wp:posOffset>4743450</wp:posOffset>
                </wp:positionH>
                <wp:positionV relativeFrom="paragraph">
                  <wp:posOffset>1289050</wp:posOffset>
                </wp:positionV>
                <wp:extent cx="427990" cy="278130"/>
                <wp:effectExtent l="0" t="0" r="0" b="0"/>
                <wp:wrapNone/>
                <wp:docPr id="13" name="文本框 11"/>
                <wp:cNvGraphicFramePr/>
                <a:graphic xmlns:a="http://schemas.openxmlformats.org/drawingml/2006/main">
                  <a:graphicData uri="http://schemas.microsoft.com/office/word/2010/wordprocessingShape">
                    <wps:wsp>
                      <wps:cNvSpPr txBox="1"/>
                      <wps:spPr>
                        <a:xfrm>
                          <a:off x="0" y="0"/>
                          <a:ext cx="427990" cy="278130"/>
                        </a:xfrm>
                        <a:prstGeom prst="rect">
                          <a:avLst/>
                        </a:prstGeom>
                        <a:noFill/>
                        <a:ln>
                          <a:noFill/>
                        </a:ln>
                      </wps:spPr>
                      <wps:txbx>
                        <w:txbxContent>
                          <w:p w:rsidR="00C65152" w:rsidRDefault="00372EC6">
                            <w:pPr>
                              <w:spacing w:line="240" w:lineRule="atLeast"/>
                              <w:rPr>
                                <w:color w:val="FF0000"/>
                                <w:sz w:val="16"/>
                                <w:szCs w:val="18"/>
                              </w:rPr>
                            </w:pPr>
                            <w:r>
                              <w:rPr>
                                <w:rFonts w:hint="eastAsia"/>
                                <w:color w:val="FF0000"/>
                                <w:sz w:val="16"/>
                                <w:szCs w:val="18"/>
                              </w:rPr>
                              <w:t>0.15</w:t>
                            </w:r>
                          </w:p>
                        </w:txbxContent>
                      </wps:txbx>
                      <wps:bodyPr upright="1"/>
                    </wps:wsp>
                  </a:graphicData>
                </a:graphic>
              </wp:anchor>
            </w:drawing>
          </mc:Choice>
          <mc:Fallback>
            <w:pict>
              <v:shape id="文本框 11" o:spid="_x0000_s1027" type="#_x0000_t202" style="position:absolute;left:0;text-align:left;margin-left:373.5pt;margin-top:101.5pt;width:33.7pt;height:21.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" filled="f" stroked="f">
                <v:textbox>
                  <w:txbxContent>
                    <w:p w:rsidR="00C65152" w:rsidRDefault="00372EC6">
                      <w:pPr>
                        <w:spacing w:line="240" w:lineRule="atLeast"/>
                        <w:rPr>
                          <w:color w:val="FF0000"/>
                          <w:sz w:val="16"/>
                          <w:szCs w:val="18"/>
                        </w:rPr>
                      </w:pPr>
                      <w:r>
                        <w:rPr>
                          <w:rFonts w:hint="eastAsia"/>
                          <w:color w:val="FF0000"/>
                          <w:sz w:val="16"/>
                          <w:szCs w:val="18"/>
                        </w:rPr>
                        <w:t>0.15</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496570</wp:posOffset>
                </wp:positionH>
                <wp:positionV relativeFrom="page">
                  <wp:posOffset>5353685</wp:posOffset>
                </wp:positionV>
                <wp:extent cx="4598670" cy="635"/>
                <wp:effectExtent l="0" t="0" r="0" b="0"/>
                <wp:wrapNone/>
                <wp:docPr id="12" name="直线 10"/>
                <wp:cNvGraphicFramePr/>
                <a:graphic xmlns:a="http://schemas.openxmlformats.org/drawingml/2006/main">
                  <a:graphicData uri="http://schemas.microsoft.com/office/word/2010/wordprocessingShape">
                    <wps:wsp>
                      <wps:cNvCnPr/>
                      <wps:spPr>
                        <a:xfrm flipV="1">
                          <a:off x="0" y="0"/>
                          <a:ext cx="4598670" cy="635"/>
                        </a:xfrm>
                        <a:prstGeom prst="line">
                          <a:avLst/>
                        </a:prstGeom>
                        <a:ln w="9525" cap="flat" cmpd="sng">
                          <a:solidFill>
                            <a:srgbClr val="FF0000"/>
                          </a:solidFill>
                          <a:prstDash val="solid"/>
                          <a:headEnd type="none" w="med" len="med"/>
                          <a:tailEnd type="none" w="med" len="med"/>
                        </a:ln>
                      </wps:spPr>
                      <wps:bodyPr/>
                    </wps:wsp>
                  </a:graphicData>
                </a:graphic>
              </wp:anchor>
            </w:drawing>
          </mc:Choice>
          <mc:Fallback>
            <w:pict>
              <v:line w14:anchorId="719545DD" id="直线 10" o:spid="_x0000_s1026" style="position:absolute;left:0;text-align:left;flip:y;z-index:251663360;visibility:visible;mso-wrap-style:square;mso-wrap-distance-left:9pt;mso-wrap-distance-top:0;mso-wrap-distance-right:9pt;mso-wrap-distance-bottom:0;mso-position-horizontal:absolute;mso-position-horizontal-relative:text;mso-position-vertical:absolute;mso-position-vertical-relative:page" from="39.1pt,421.55pt" to="401.2pt,4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" strokecolor="red">
                <w10:wrap anchory="page"/>
              </v:line>
            </w:pict>
          </mc:Fallback>
        </mc:AlternateContent>
      </w:r>
      <w:r>
        <w:rPr>
          <w:noProof/>
        </w:rPr>
        <w:drawing>
          <wp:inline distT="0" distB="0" distL="114300" distR="114300">
            <wp:extent cx="4826000" cy="2743200"/>
            <wp:effectExtent l="4445" t="4445" r="8255" b="5080"/>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65152" w:rsidRDefault="00372EC6">
      <w:pPr>
        <w:spacing w:before="240" w:line="360" w:lineRule="auto"/>
        <w:jc w:val="center"/>
        <w:rPr>
          <w:sz w:val="28"/>
          <w:szCs w:val="28"/>
        </w:rPr>
      </w:pPr>
      <w:r>
        <w:rPr>
          <w:rFonts w:ascii="宋体" w:hAnsi="宋体" w:hint="eastAsia"/>
          <w:sz w:val="28"/>
          <w:szCs w:val="28"/>
        </w:rPr>
        <w:t>图2所检果蔬洗涤盐产品的水</w:t>
      </w:r>
      <w:r>
        <w:rPr>
          <w:rFonts w:hint="eastAsia"/>
          <w:sz w:val="28"/>
          <w:szCs w:val="28"/>
        </w:rPr>
        <w:t>不溶物结果散点图</w:t>
      </w:r>
    </w:p>
    <w:p w:rsidR="00C65152" w:rsidRDefault="00372EC6">
      <w:pPr>
        <w:spacing w:before="240" w:line="360" w:lineRule="auto"/>
        <w:ind w:firstLine="560"/>
        <w:rPr>
          <w:rFonts w:ascii="宋体" w:hAnsi="宋体"/>
          <w:sz w:val="28"/>
          <w:szCs w:val="28"/>
        </w:rPr>
      </w:pPr>
      <w:r>
        <w:rPr>
          <w:rFonts w:hint="eastAsia"/>
          <w:sz w:val="28"/>
          <w:szCs w:val="28"/>
        </w:rPr>
        <w:t>pH</w:t>
      </w:r>
      <w:r>
        <w:rPr>
          <w:rFonts w:hint="eastAsia"/>
          <w:sz w:val="28"/>
          <w:szCs w:val="28"/>
        </w:rPr>
        <w:t>指标要求。</w:t>
      </w:r>
      <w:r>
        <w:rPr>
          <w:rFonts w:ascii="宋体" w:hAnsi="宋体" w:hint="eastAsia"/>
          <w:sz w:val="28"/>
          <w:szCs w:val="28"/>
        </w:rPr>
        <w:t>标准起草工作组根据检测的72个果蔬洗涤盐样品</w:t>
      </w:r>
      <w:r>
        <w:rPr>
          <w:rFonts w:hint="eastAsia"/>
          <w:sz w:val="28"/>
          <w:szCs w:val="28"/>
        </w:rPr>
        <w:t>pH</w:t>
      </w:r>
      <w:r>
        <w:rPr>
          <w:rFonts w:hint="eastAsia"/>
          <w:sz w:val="28"/>
          <w:szCs w:val="28"/>
        </w:rPr>
        <w:t>值</w:t>
      </w:r>
      <w:r>
        <w:rPr>
          <w:rFonts w:ascii="宋体" w:hAnsi="宋体" w:hint="eastAsia"/>
          <w:sz w:val="28"/>
          <w:szCs w:val="28"/>
        </w:rPr>
        <w:t>进行了统计，有57个样品中</w:t>
      </w:r>
      <w:r>
        <w:rPr>
          <w:rFonts w:hint="eastAsia"/>
          <w:sz w:val="28"/>
          <w:szCs w:val="28"/>
        </w:rPr>
        <w:t>pH</w:t>
      </w:r>
      <w:r>
        <w:rPr>
          <w:rFonts w:hint="eastAsia"/>
          <w:sz w:val="28"/>
          <w:szCs w:val="28"/>
        </w:rPr>
        <w:t>值</w:t>
      </w:r>
      <w:r>
        <w:rPr>
          <w:rFonts w:ascii="宋体" w:hAnsi="宋体" w:hint="eastAsia"/>
          <w:sz w:val="28"/>
          <w:szCs w:val="28"/>
        </w:rPr>
        <w:t>在8.0</w:t>
      </w:r>
      <w:r>
        <w:rPr>
          <w:rFonts w:ascii="Times New Roman" w:hAnsi="Times New Roman"/>
          <w:sz w:val="28"/>
          <w:szCs w:val="28"/>
        </w:rPr>
        <w:t>~</w:t>
      </w:r>
      <w:r>
        <w:rPr>
          <w:rFonts w:ascii="宋体" w:hAnsi="宋体" w:hint="eastAsia"/>
          <w:sz w:val="28"/>
          <w:szCs w:val="28"/>
        </w:rPr>
        <w:t>11.5之间</w:t>
      </w:r>
      <w:r>
        <w:rPr>
          <w:rFonts w:hint="eastAsia"/>
          <w:sz w:val="28"/>
          <w:szCs w:val="28"/>
        </w:rPr>
        <w:t>，占比</w:t>
      </w:r>
      <w:r>
        <w:rPr>
          <w:rFonts w:ascii="宋体" w:hAnsi="宋体" w:hint="eastAsia"/>
          <w:sz w:val="28"/>
          <w:szCs w:val="28"/>
        </w:rPr>
        <w:t>79.2%</w:t>
      </w:r>
      <w:r>
        <w:rPr>
          <w:rFonts w:hint="eastAsia"/>
          <w:sz w:val="28"/>
          <w:szCs w:val="28"/>
        </w:rPr>
        <w:t>，具体</w:t>
      </w:r>
      <w:r>
        <w:rPr>
          <w:rFonts w:ascii="宋体" w:hAnsi="宋体" w:hint="eastAsia"/>
          <w:sz w:val="28"/>
          <w:szCs w:val="28"/>
        </w:rPr>
        <w:t>数据见表3、图3。</w:t>
      </w:r>
    </w:p>
    <w:p w:rsidR="00C65152" w:rsidRDefault="00372EC6">
      <w:pPr>
        <w:spacing w:before="240" w:line="360" w:lineRule="auto"/>
        <w:jc w:val="center"/>
        <w:rPr>
          <w:rFonts w:ascii="宋体" w:hAnsi="宋体"/>
          <w:sz w:val="28"/>
          <w:szCs w:val="28"/>
        </w:rPr>
      </w:pPr>
      <w:r>
        <w:rPr>
          <w:rFonts w:ascii="宋体" w:hAnsi="宋体" w:hint="eastAsia"/>
          <w:sz w:val="28"/>
          <w:szCs w:val="28"/>
        </w:rPr>
        <w:t>表3满足本标准要求的</w:t>
      </w:r>
      <w:r>
        <w:rPr>
          <w:rFonts w:hint="eastAsia"/>
          <w:sz w:val="28"/>
          <w:szCs w:val="28"/>
        </w:rPr>
        <w:t>pH</w:t>
      </w:r>
      <w:r>
        <w:rPr>
          <w:rFonts w:hint="eastAsia"/>
          <w:sz w:val="28"/>
          <w:szCs w:val="28"/>
        </w:rPr>
        <w:t>值</w:t>
      </w:r>
      <w:r>
        <w:rPr>
          <w:rFonts w:ascii="宋体" w:hAnsi="宋体" w:hint="eastAsia"/>
          <w:sz w:val="28"/>
          <w:szCs w:val="28"/>
        </w:rPr>
        <w:t>数据表</w:t>
      </w:r>
    </w:p>
    <w:tbl>
      <w:tblPr>
        <w:tblW w:w="7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593"/>
        <w:gridCol w:w="850"/>
        <w:gridCol w:w="1593"/>
        <w:gridCol w:w="850"/>
        <w:gridCol w:w="1593"/>
      </w:tblGrid>
      <w:tr w:rsidR="00C65152">
        <w:trPr>
          <w:trHeight w:val="270"/>
          <w:tblHeader/>
          <w:jc w:val="center"/>
        </w:trPr>
        <w:tc>
          <w:tcPr>
            <w:tcW w:w="850"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pH值</w:t>
            </w:r>
          </w:p>
        </w:tc>
        <w:tc>
          <w:tcPr>
            <w:tcW w:w="850"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pH值</w:t>
            </w:r>
          </w:p>
        </w:tc>
        <w:tc>
          <w:tcPr>
            <w:tcW w:w="850"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pH值</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9.88</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9.5</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lastRenderedPageBreak/>
              <w:t>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8.8</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9.95</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9.98</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10.2</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9.27</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9.7</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8.3</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9.5</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9.52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9.3</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9.4</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8.3</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9.9</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9.8</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9.4</w:t>
            </w:r>
          </w:p>
        </w:tc>
      </w:tr>
    </w:tbl>
    <w:p w:rsidR="00C65152" w:rsidRDefault="00372EC6">
      <w:pPr>
        <w:spacing w:before="240" w:line="360" w:lineRule="auto"/>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4821555</wp:posOffset>
                </wp:positionH>
                <wp:positionV relativeFrom="paragraph">
                  <wp:posOffset>1355090</wp:posOffset>
                </wp:positionV>
                <wp:extent cx="427990" cy="278130"/>
                <wp:effectExtent l="0" t="0" r="0" b="0"/>
                <wp:wrapNone/>
                <wp:docPr id="7" name="文本框 5"/>
                <wp:cNvGraphicFramePr/>
                <a:graphic xmlns:a="http://schemas.openxmlformats.org/drawingml/2006/main">
                  <a:graphicData uri="http://schemas.microsoft.com/office/word/2010/wordprocessingShape">
                    <wps:wsp>
                      <wps:cNvSpPr txBox="1"/>
                      <wps:spPr>
                        <a:xfrm>
                          <a:off x="0" y="0"/>
                          <a:ext cx="427990" cy="278130"/>
                        </a:xfrm>
                        <a:prstGeom prst="rect">
                          <a:avLst/>
                        </a:prstGeom>
                        <a:noFill/>
                        <a:ln>
                          <a:noFill/>
                        </a:ln>
                      </wps:spPr>
                      <wps:txbx>
                        <w:txbxContent>
                          <w:p w:rsidR="00C65152" w:rsidRDefault="00372EC6">
                            <w:pPr>
                              <w:spacing w:line="240" w:lineRule="atLeast"/>
                              <w:rPr>
                                <w:color w:val="FF0000"/>
                                <w:sz w:val="16"/>
                                <w:szCs w:val="18"/>
                              </w:rPr>
                            </w:pPr>
                            <w:r>
                              <w:rPr>
                                <w:rFonts w:hint="eastAsia"/>
                                <w:color w:val="FF0000"/>
                                <w:sz w:val="16"/>
                                <w:szCs w:val="18"/>
                              </w:rPr>
                              <w:t>8.0</w:t>
                            </w:r>
                          </w:p>
                        </w:txbxContent>
                      </wps:txbx>
                      <wps:bodyPr upright="1"/>
                    </wps:wsp>
                  </a:graphicData>
                </a:graphic>
              </wp:anchor>
            </w:drawing>
          </mc:Choice>
          <mc:Fallback>
            <w:pict>
              <v:shape id="文本框 5" o:spid="_x0000_s1028" type="#_x0000_t202" style="position:absolute;left:0;text-align:left;margin-left:379.65pt;margin-top:106.7pt;width:33.7pt;height:21.9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" filled="f" stroked="f">
                <v:textbox>
                  <w:txbxContent>
                    <w:p w:rsidR="00C65152" w:rsidRDefault="00372EC6">
                      <w:pPr>
                        <w:spacing w:line="240" w:lineRule="atLeast"/>
                        <w:rPr>
                          <w:color w:val="FF0000"/>
                          <w:sz w:val="16"/>
                          <w:szCs w:val="18"/>
                        </w:rPr>
                      </w:pPr>
                      <w:r>
                        <w:rPr>
                          <w:rFonts w:hint="eastAsia"/>
                          <w:color w:val="FF0000"/>
                          <w:sz w:val="16"/>
                          <w:szCs w:val="18"/>
                        </w:rPr>
                        <w:t>8.0</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4812030</wp:posOffset>
                </wp:positionH>
                <wp:positionV relativeFrom="paragraph">
                  <wp:posOffset>685165</wp:posOffset>
                </wp:positionV>
                <wp:extent cx="427990" cy="278130"/>
                <wp:effectExtent l="0" t="0" r="0" b="0"/>
                <wp:wrapNone/>
                <wp:docPr id="6" name="文本框 4"/>
                <wp:cNvGraphicFramePr/>
                <a:graphic xmlns:a="http://schemas.openxmlformats.org/drawingml/2006/main">
                  <a:graphicData uri="http://schemas.microsoft.com/office/word/2010/wordprocessingShape">
                    <wps:wsp>
                      <wps:cNvSpPr txBox="1"/>
                      <wps:spPr>
                        <a:xfrm>
                          <a:off x="0" y="0"/>
                          <a:ext cx="427990" cy="278130"/>
                        </a:xfrm>
                        <a:prstGeom prst="rect">
                          <a:avLst/>
                        </a:prstGeom>
                        <a:noFill/>
                        <a:ln>
                          <a:noFill/>
                        </a:ln>
                      </wps:spPr>
                      <wps:txbx>
                        <w:txbxContent>
                          <w:p w:rsidR="00C65152" w:rsidRDefault="00372EC6">
                            <w:pPr>
                              <w:spacing w:line="240" w:lineRule="atLeast"/>
                              <w:rPr>
                                <w:color w:val="FF0000"/>
                                <w:sz w:val="16"/>
                                <w:szCs w:val="18"/>
                              </w:rPr>
                            </w:pPr>
                            <w:r>
                              <w:rPr>
                                <w:rFonts w:hint="eastAsia"/>
                                <w:color w:val="FF0000"/>
                                <w:sz w:val="16"/>
                                <w:szCs w:val="18"/>
                              </w:rPr>
                              <w:t>11.5</w:t>
                            </w:r>
                          </w:p>
                        </w:txbxContent>
                      </wps:txbx>
                      <wps:bodyPr upright="1"/>
                    </wps:wsp>
                  </a:graphicData>
                </a:graphic>
              </wp:anchor>
            </w:drawing>
          </mc:Choice>
          <mc:Fallback>
            <w:pict>
              <v:shape id="文本框 4" o:spid="_x0000_s1029" type="#_x0000_t202" style="position:absolute;left:0;text-align:left;margin-left:378.9pt;margin-top:53.95pt;width:33.7pt;height:21.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" filled="f" stroked="f">
                <v:textbox>
                  <w:txbxContent>
                    <w:p w:rsidR="00C65152" w:rsidRDefault="00372EC6">
                      <w:pPr>
                        <w:spacing w:line="240" w:lineRule="atLeast"/>
                        <w:rPr>
                          <w:color w:val="FF0000"/>
                          <w:sz w:val="16"/>
                          <w:szCs w:val="18"/>
                        </w:rPr>
                      </w:pPr>
                      <w:r>
                        <w:rPr>
                          <w:rFonts w:hint="eastAsia"/>
                          <w:color w:val="FF0000"/>
                          <w:sz w:val="16"/>
                          <w:szCs w:val="18"/>
                        </w:rPr>
                        <w:t>11.5</w:t>
                      </w:r>
                    </w:p>
                  </w:txbxContent>
                </v:textbox>
              </v:shape>
            </w:pict>
          </mc:Fallback>
        </mc:AlternateContent>
      </w:r>
      <w:r>
        <w:rPr>
          <w:noProof/>
        </w:rPr>
        <mc:AlternateContent>
          <mc:Choice Requires="wpg">
            <w:drawing>
              <wp:anchor distT="0" distB="0" distL="114300" distR="114300" simplePos="0" relativeHeight="251661312" behindDoc="0" locked="0" layoutInCell="1" allowOverlap="1">
                <wp:simplePos x="0" y="0"/>
                <wp:positionH relativeFrom="column">
                  <wp:posOffset>507365</wp:posOffset>
                </wp:positionH>
                <wp:positionV relativeFrom="paragraph">
                  <wp:posOffset>918845</wp:posOffset>
                </wp:positionV>
                <wp:extent cx="4623435" cy="737235"/>
                <wp:effectExtent l="0" t="4445" r="5715" b="20320"/>
                <wp:wrapNone/>
                <wp:docPr id="10" name="组合 6"/>
                <wp:cNvGraphicFramePr/>
                <a:graphic xmlns:a="http://schemas.openxmlformats.org/drawingml/2006/main">
                  <a:graphicData uri="http://schemas.microsoft.com/office/word/2010/wordprocessingGroup">
                    <wpg:wgp>
                      <wpg:cNvGrpSpPr/>
                      <wpg:grpSpPr>
                        <a:xfrm>
                          <a:off x="0" y="0"/>
                          <a:ext cx="4623435" cy="737235"/>
                          <a:chOff x="3002" y="110969"/>
                          <a:chExt cx="7281" cy="1002"/>
                        </a:xfrm>
                      </wpg:grpSpPr>
                      <wps:wsp>
                        <wps:cNvPr id="8" name="直线 2"/>
                        <wps:cNvCnPr/>
                        <wps:spPr>
                          <a:xfrm flipV="1">
                            <a:off x="3002" y="110969"/>
                            <a:ext cx="7242" cy="1"/>
                          </a:xfrm>
                          <a:prstGeom prst="line">
                            <a:avLst/>
                          </a:prstGeom>
                          <a:ln w="9525" cap="flat" cmpd="sng">
                            <a:solidFill>
                              <a:srgbClr val="FF0000"/>
                            </a:solidFill>
                            <a:prstDash val="solid"/>
                            <a:headEnd type="none" w="med" len="med"/>
                            <a:tailEnd type="none" w="med" len="med"/>
                          </a:ln>
                        </wps:spPr>
                        <wps:bodyPr/>
                      </wps:wsp>
                      <wps:wsp>
                        <wps:cNvPr id="9" name="直线 3"/>
                        <wps:cNvCnPr/>
                        <wps:spPr>
                          <a:xfrm flipV="1">
                            <a:off x="3041" y="111971"/>
                            <a:ext cx="7242" cy="1"/>
                          </a:xfrm>
                          <a:prstGeom prst="line">
                            <a:avLst/>
                          </a:prstGeom>
                          <a:ln w="9525" cap="flat" cmpd="sng">
                            <a:solidFill>
                              <a:srgbClr val="FF0000"/>
                            </a:solidFill>
                            <a:prstDash val="solid"/>
                            <a:headEnd type="none" w="med" len="med"/>
                            <a:tailEnd type="none" w="med" len="med"/>
                          </a:ln>
                        </wps:spPr>
                        <wps:bodyPr/>
                      </wps:wsp>
                    </wpg:wgp>
                  </a:graphicData>
                </a:graphic>
              </wp:anchor>
            </w:drawing>
          </mc:Choice>
          <mc:Fallback>
            <w:pict>
              <v:group w14:anchorId="1E737B10" id="组合 6" o:spid="_x0000_s1026" style="position:absolute;left:0;text-align:left;margin-left:39.95pt;margin-top:72.35pt;width:364.05pt;height:58.05pt;z-index:251661312" coordorigin="3002,110969" coordsize="7281,1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">
                <v:line id="直线 2" o:spid="_x0000_s1027" style="position:absolute;flip:y;visibility:visible;mso-wrap-style:square" from="3002,110969" to="10244,110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oqqcAAAADaAAAADwAAAGRycy9kb3ducmV2LnhtbERPTYvCMBC9C/6HMII3TbeoSNco68KC&#10;eBDWiuhtaMa2bDOpSdT6781hwePjfS9WnWnEnZyvLSv4GCcgiAuray4VHPKf0RyED8gaG8uk4Eke&#10;Vst+b4GZtg/+pfs+lCKGsM9QQRVCm0npi4oM+rFtiSN3sc5giNCVUjt8xHDTyDRJZtJgzbGhwpa+&#10;Kyr+9jej4FTvDlPjduvzdZue8kmaJpf2qNRw0H19ggjUhbf4373RCuLWeCXeALl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aKqnAAAAA2gAAAA8AAAAAAAAAAAAAAAAA&#10;oQIAAGRycy9kb3ducmV2LnhtbFBLBQYAAAAABAAEAPkAAACOAwAAAAA=&#10;" strokecolor="red"/>
                <v:line id="直线 3" o:spid="_x0000_s1028" style="position:absolute;flip:y;visibility:visible;mso-wrap-style:square" from="3041,111971" to="10283,111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aPMsQAAADaAAAADwAAAGRycy9kb3ducmV2LnhtbESPT4vCMBTE7wt+h/AEb2tqcRetRnEF&#10;YdmD4B9Eb4/m2Rabl26S1frtjbDgcZiZ3zDTeWtqcSXnK8sKBv0EBHFudcWFgv1u9T4C4QOyxtoy&#10;KbiTh/ms8zbFTNsbb+i6DYWIEPYZKihDaDIpfV6SQd+3DXH0ztYZDFG6QmqHtwg3tUyT5FMarDgu&#10;lNjQsqT8sv0zCo7Vev9h3Prr9PuTHnfDNE3OzUGpXrddTEAEasMr/N/+1grG8LwSb4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Fo8yxAAAANoAAAAPAAAAAAAAAAAA&#10;AAAAAKECAABkcnMvZG93bnJldi54bWxQSwUGAAAAAAQABAD5AAAAkgMAAAAA&#10;" strokecolor="red"/>
              </v:group>
            </w:pict>
          </mc:Fallback>
        </mc:AlternateContent>
      </w:r>
      <w:r>
        <w:rPr>
          <w:noProof/>
        </w:rPr>
        <w:drawing>
          <wp:inline distT="0" distB="0" distL="114300" distR="114300">
            <wp:extent cx="5058410" cy="2545715"/>
            <wp:effectExtent l="4445" t="4445" r="13970" b="1206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65152" w:rsidRDefault="00372EC6">
      <w:pPr>
        <w:spacing w:before="240" w:line="360" w:lineRule="auto"/>
        <w:ind w:firstLine="560"/>
        <w:jc w:val="center"/>
      </w:pPr>
      <w:r>
        <w:rPr>
          <w:rFonts w:ascii="宋体" w:hAnsi="宋体" w:hint="eastAsia"/>
          <w:sz w:val="28"/>
          <w:szCs w:val="28"/>
        </w:rPr>
        <w:t>图3所检果蔬洗涤盐产品的</w:t>
      </w:r>
      <w:r>
        <w:rPr>
          <w:rFonts w:hint="eastAsia"/>
          <w:sz w:val="28"/>
          <w:szCs w:val="28"/>
        </w:rPr>
        <w:t>pH</w:t>
      </w:r>
      <w:r>
        <w:rPr>
          <w:rFonts w:hint="eastAsia"/>
          <w:sz w:val="28"/>
          <w:szCs w:val="28"/>
        </w:rPr>
        <w:t>值结果散点图</w:t>
      </w:r>
    </w:p>
    <w:p w:rsidR="00C65152" w:rsidRDefault="00372EC6">
      <w:pPr>
        <w:spacing w:before="240" w:line="360" w:lineRule="auto"/>
        <w:ind w:firstLine="560"/>
        <w:rPr>
          <w:rFonts w:ascii="宋体" w:hAnsi="宋体"/>
          <w:sz w:val="28"/>
          <w:szCs w:val="28"/>
        </w:rPr>
      </w:pPr>
      <w:r>
        <w:rPr>
          <w:rFonts w:hint="eastAsia"/>
          <w:sz w:val="28"/>
          <w:szCs w:val="28"/>
        </w:rPr>
        <w:t>总活性物指标要求</w:t>
      </w:r>
      <w:r>
        <w:rPr>
          <w:sz w:val="28"/>
          <w:szCs w:val="28"/>
        </w:rPr>
        <w:t>。</w:t>
      </w:r>
      <w:r>
        <w:rPr>
          <w:rFonts w:ascii="宋体" w:hAnsi="宋体" w:hint="eastAsia"/>
          <w:sz w:val="28"/>
          <w:szCs w:val="28"/>
        </w:rPr>
        <w:t>标准起草工作组根据检测的10个具有代表性的果蔬洗涤盐样品，经统计</w:t>
      </w:r>
      <w:r>
        <w:rPr>
          <w:rFonts w:hint="eastAsia"/>
          <w:sz w:val="28"/>
          <w:szCs w:val="28"/>
        </w:rPr>
        <w:t>总活性物均小于</w:t>
      </w:r>
      <w:r>
        <w:rPr>
          <w:rFonts w:ascii="宋体" w:hAnsi="宋体" w:hint="eastAsia"/>
          <w:sz w:val="28"/>
          <w:szCs w:val="28"/>
        </w:rPr>
        <w:t>10，</w:t>
      </w:r>
      <w:r>
        <w:rPr>
          <w:rFonts w:hint="eastAsia"/>
          <w:sz w:val="28"/>
          <w:szCs w:val="28"/>
        </w:rPr>
        <w:t>具体</w:t>
      </w:r>
      <w:r>
        <w:rPr>
          <w:rFonts w:ascii="宋体" w:hAnsi="宋体" w:hint="eastAsia"/>
          <w:sz w:val="28"/>
          <w:szCs w:val="28"/>
        </w:rPr>
        <w:t>数据见图4。</w:t>
      </w:r>
    </w:p>
    <w:p w:rsidR="00C65152" w:rsidRDefault="00372EC6">
      <w:pPr>
        <w:spacing w:before="240" w:line="360" w:lineRule="auto"/>
        <w:jc w:val="center"/>
        <w:rPr>
          <w:rFonts w:ascii="宋体" w:hAnsi="宋体"/>
          <w:b/>
          <w:bCs/>
          <w:sz w:val="28"/>
          <w:szCs w:val="28"/>
        </w:rPr>
      </w:pPr>
      <w:r>
        <w:rPr>
          <w:noProof/>
        </w:rPr>
        <w:lastRenderedPageBreak/>
        <w:drawing>
          <wp:inline distT="0" distB="0" distL="114300" distR="114300">
            <wp:extent cx="4821555" cy="2458085"/>
            <wp:effectExtent l="4445" t="5080" r="12700" b="13335"/>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65152" w:rsidRDefault="00372EC6">
      <w:pPr>
        <w:spacing w:before="240" w:line="360" w:lineRule="auto"/>
        <w:ind w:firstLine="560"/>
        <w:jc w:val="center"/>
      </w:pPr>
      <w:r>
        <w:rPr>
          <w:rFonts w:ascii="宋体" w:hAnsi="宋体" w:hint="eastAsia"/>
          <w:sz w:val="28"/>
          <w:szCs w:val="28"/>
        </w:rPr>
        <w:t>图4所检果蔬洗涤盐产品的</w:t>
      </w:r>
      <w:r>
        <w:rPr>
          <w:rFonts w:hint="eastAsia"/>
          <w:sz w:val="28"/>
          <w:szCs w:val="28"/>
        </w:rPr>
        <w:t>总活性物结果散点图</w:t>
      </w:r>
    </w:p>
    <w:p w:rsidR="00C65152" w:rsidRDefault="00372EC6">
      <w:pPr>
        <w:spacing w:before="240" w:line="360" w:lineRule="auto"/>
        <w:rPr>
          <w:rFonts w:asciiTheme="minorEastAsia" w:eastAsiaTheme="minorEastAsia" w:hAnsiTheme="minorEastAsia"/>
          <w:b/>
          <w:sz w:val="28"/>
          <w:szCs w:val="28"/>
        </w:rPr>
      </w:pPr>
      <w:r>
        <w:rPr>
          <w:rFonts w:asciiTheme="minorEastAsia" w:eastAsiaTheme="minorEastAsia" w:hAnsiTheme="minorEastAsia" w:hint="eastAsia"/>
          <w:b/>
          <w:sz w:val="28"/>
          <w:szCs w:val="28"/>
        </w:rPr>
        <w:t>2.2.4性能指标</w:t>
      </w:r>
    </w:p>
    <w:p w:rsidR="00C65152" w:rsidRDefault="00372EC6">
      <w:pPr>
        <w:pStyle w:val="a8"/>
        <w:ind w:firstLineChars="200" w:firstLine="560"/>
        <w:rPr>
          <w:sz w:val="28"/>
          <w:szCs w:val="28"/>
        </w:rPr>
      </w:pPr>
      <w:r>
        <w:rPr>
          <w:rFonts w:hint="eastAsia"/>
          <w:sz w:val="28"/>
          <w:szCs w:val="28"/>
        </w:rPr>
        <w:t>本标准新建了去除率检测方法，根据验证的检测方法检测果蔬洗涤盐样品，根据结果设置该指标可以为</w:t>
      </w:r>
      <w:r>
        <w:rPr>
          <w:rFonts w:hint="eastAsia"/>
          <w:sz w:val="28"/>
          <w:szCs w:val="28"/>
        </w:rPr>
        <w:t>20%</w:t>
      </w:r>
      <w:r>
        <w:rPr>
          <w:rFonts w:hint="eastAsia"/>
          <w:sz w:val="28"/>
          <w:szCs w:val="28"/>
        </w:rPr>
        <w:t>，具体检测结果可见“三、主要试验（或验证）情况”。</w:t>
      </w:r>
    </w:p>
    <w:p w:rsidR="00C65152" w:rsidRDefault="00372EC6">
      <w:pPr>
        <w:spacing w:before="240" w:line="360" w:lineRule="auto"/>
        <w:rPr>
          <w:rFonts w:asciiTheme="minorEastAsia" w:eastAsiaTheme="minorEastAsia" w:hAnsiTheme="minorEastAsia"/>
          <w:b/>
          <w:sz w:val="28"/>
          <w:szCs w:val="28"/>
        </w:rPr>
      </w:pPr>
      <w:r>
        <w:rPr>
          <w:rFonts w:asciiTheme="minorEastAsia" w:eastAsiaTheme="minorEastAsia" w:hAnsiTheme="minorEastAsia" w:hint="eastAsia"/>
          <w:b/>
          <w:sz w:val="28"/>
          <w:szCs w:val="28"/>
        </w:rPr>
        <w:t>2</w:t>
      </w:r>
      <w:r>
        <w:rPr>
          <w:rFonts w:asciiTheme="minorEastAsia" w:eastAsiaTheme="minorEastAsia" w:hAnsiTheme="minorEastAsia"/>
          <w:b/>
          <w:sz w:val="28"/>
          <w:szCs w:val="28"/>
        </w:rPr>
        <w:t>.2.</w:t>
      </w:r>
      <w:r>
        <w:rPr>
          <w:rFonts w:asciiTheme="minorEastAsia" w:eastAsiaTheme="minorEastAsia" w:hAnsiTheme="minorEastAsia" w:hint="eastAsia"/>
          <w:b/>
          <w:sz w:val="28"/>
          <w:szCs w:val="28"/>
        </w:rPr>
        <w:t>5</w:t>
      </w:r>
      <w:r>
        <w:rPr>
          <w:rFonts w:asciiTheme="minorEastAsia" w:eastAsiaTheme="minorEastAsia" w:hAnsiTheme="minorEastAsia"/>
          <w:b/>
          <w:sz w:val="28"/>
          <w:szCs w:val="28"/>
        </w:rPr>
        <w:t xml:space="preserve"> </w:t>
      </w:r>
      <w:r>
        <w:rPr>
          <w:rFonts w:asciiTheme="minorEastAsia" w:eastAsiaTheme="minorEastAsia" w:hAnsiTheme="minorEastAsia" w:hint="eastAsia"/>
          <w:b/>
          <w:sz w:val="28"/>
          <w:szCs w:val="28"/>
        </w:rPr>
        <w:t>污染物限量</w:t>
      </w:r>
    </w:p>
    <w:p w:rsidR="00C65152" w:rsidRDefault="00372EC6">
      <w:pPr>
        <w:spacing w:before="240" w:line="360" w:lineRule="auto"/>
        <w:ind w:firstLineChars="200" w:firstLine="560"/>
        <w:rPr>
          <w:sz w:val="28"/>
          <w:szCs w:val="28"/>
        </w:rPr>
      </w:pPr>
      <w:r>
        <w:rPr>
          <w:rFonts w:hint="eastAsia"/>
          <w:sz w:val="28"/>
          <w:szCs w:val="28"/>
        </w:rPr>
        <w:t>本标准依据</w:t>
      </w:r>
      <w:r>
        <w:rPr>
          <w:rFonts w:hint="eastAsia"/>
          <w:sz w:val="28"/>
          <w:szCs w:val="28"/>
        </w:rPr>
        <w:t>GB 2762-2025</w:t>
      </w:r>
      <w:r>
        <w:rPr>
          <w:rFonts w:hint="eastAsia"/>
          <w:sz w:val="28"/>
          <w:szCs w:val="28"/>
        </w:rPr>
        <w:t>《食品安全国家标准</w:t>
      </w:r>
      <w:r>
        <w:rPr>
          <w:rFonts w:hint="eastAsia"/>
          <w:sz w:val="28"/>
          <w:szCs w:val="28"/>
        </w:rPr>
        <w:t xml:space="preserve"> </w:t>
      </w:r>
      <w:r>
        <w:rPr>
          <w:rFonts w:hint="eastAsia"/>
          <w:sz w:val="28"/>
          <w:szCs w:val="28"/>
        </w:rPr>
        <w:t>食品中污染物限量》和</w:t>
      </w:r>
      <w:r>
        <w:rPr>
          <w:rFonts w:hint="eastAsia"/>
          <w:sz w:val="28"/>
          <w:szCs w:val="28"/>
        </w:rPr>
        <w:t>GB 2721-2015</w:t>
      </w:r>
      <w:r>
        <w:rPr>
          <w:rFonts w:hint="eastAsia"/>
          <w:sz w:val="28"/>
          <w:szCs w:val="28"/>
        </w:rPr>
        <w:t>《食品安全国家标准</w:t>
      </w:r>
      <w:r>
        <w:rPr>
          <w:rFonts w:hint="eastAsia"/>
          <w:sz w:val="28"/>
          <w:szCs w:val="28"/>
        </w:rPr>
        <w:t xml:space="preserve"> </w:t>
      </w:r>
      <w:r>
        <w:rPr>
          <w:rFonts w:hint="eastAsia"/>
          <w:sz w:val="28"/>
          <w:szCs w:val="28"/>
        </w:rPr>
        <w:t>食用盐》与批量实际检测数据，确定铅、总砷、镉、总汞、钡五项污染物限量指标，同步对各指标限量进行加严优化，提升管控门槛。</w:t>
      </w:r>
    </w:p>
    <w:p w:rsidR="00C65152" w:rsidRDefault="00372EC6">
      <w:pPr>
        <w:spacing w:before="240" w:line="360" w:lineRule="auto"/>
        <w:ind w:firstLineChars="200" w:firstLine="560"/>
        <w:rPr>
          <w:rFonts w:ascii="宋体" w:hAnsi="宋体"/>
          <w:sz w:val="28"/>
          <w:szCs w:val="28"/>
        </w:rPr>
      </w:pPr>
      <w:r>
        <w:rPr>
          <w:rFonts w:hint="eastAsia"/>
          <w:sz w:val="28"/>
          <w:szCs w:val="28"/>
        </w:rPr>
        <w:t>铅。</w:t>
      </w:r>
      <w:r>
        <w:rPr>
          <w:rFonts w:ascii="宋体" w:hAnsi="宋体" w:hint="eastAsia"/>
          <w:sz w:val="28"/>
          <w:szCs w:val="28"/>
        </w:rPr>
        <w:t>标准起草工作组根据检测的93个果蔬洗涤盐样品</w:t>
      </w:r>
      <w:r>
        <w:rPr>
          <w:rFonts w:hint="eastAsia"/>
          <w:sz w:val="28"/>
          <w:szCs w:val="28"/>
        </w:rPr>
        <w:t>铅含量</w:t>
      </w:r>
      <w:r>
        <w:rPr>
          <w:rFonts w:ascii="宋体" w:hAnsi="宋体" w:hint="eastAsia"/>
          <w:sz w:val="28"/>
          <w:szCs w:val="28"/>
        </w:rPr>
        <w:t>进行了统计，有90个样品</w:t>
      </w:r>
      <w:r>
        <w:rPr>
          <w:rFonts w:hint="eastAsia"/>
          <w:sz w:val="28"/>
          <w:szCs w:val="28"/>
        </w:rPr>
        <w:t>铅含量</w:t>
      </w:r>
      <w:r>
        <w:rPr>
          <w:rFonts w:ascii="宋体" w:hAnsi="宋体" w:hint="eastAsia"/>
          <w:sz w:val="28"/>
          <w:szCs w:val="28"/>
        </w:rPr>
        <w:t>小于等于0.5mg/kg之间</w:t>
      </w:r>
      <w:r>
        <w:rPr>
          <w:rFonts w:hint="eastAsia"/>
          <w:sz w:val="28"/>
          <w:szCs w:val="28"/>
        </w:rPr>
        <w:t>，占比</w:t>
      </w:r>
      <w:r>
        <w:rPr>
          <w:rFonts w:ascii="宋体" w:hAnsi="宋体" w:hint="eastAsia"/>
          <w:sz w:val="28"/>
          <w:szCs w:val="28"/>
        </w:rPr>
        <w:t>96.8%</w:t>
      </w:r>
      <w:r>
        <w:rPr>
          <w:rFonts w:hint="eastAsia"/>
          <w:sz w:val="28"/>
          <w:szCs w:val="28"/>
        </w:rPr>
        <w:t>，具体</w:t>
      </w:r>
      <w:r>
        <w:rPr>
          <w:rFonts w:ascii="宋体" w:hAnsi="宋体" w:hint="eastAsia"/>
          <w:sz w:val="28"/>
          <w:szCs w:val="28"/>
        </w:rPr>
        <w:t>数据见表4。</w:t>
      </w:r>
    </w:p>
    <w:p w:rsidR="00C65152" w:rsidRDefault="00372EC6">
      <w:pPr>
        <w:spacing w:before="240" w:line="360" w:lineRule="auto"/>
        <w:jc w:val="center"/>
        <w:rPr>
          <w:rFonts w:ascii="宋体" w:hAnsi="宋体"/>
          <w:sz w:val="28"/>
          <w:szCs w:val="28"/>
        </w:rPr>
      </w:pPr>
      <w:r>
        <w:rPr>
          <w:rFonts w:ascii="宋体" w:hAnsi="宋体" w:hint="eastAsia"/>
          <w:sz w:val="28"/>
          <w:szCs w:val="28"/>
        </w:rPr>
        <w:lastRenderedPageBreak/>
        <w:t>表4所检果蔬洗涤盐产品的</w:t>
      </w:r>
      <w:r>
        <w:rPr>
          <w:rFonts w:hint="eastAsia"/>
          <w:sz w:val="28"/>
          <w:szCs w:val="28"/>
        </w:rPr>
        <w:t>铅含量结果</w:t>
      </w:r>
    </w:p>
    <w:tbl>
      <w:tblPr>
        <w:tblW w:w="7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593"/>
        <w:gridCol w:w="850"/>
        <w:gridCol w:w="1593"/>
        <w:gridCol w:w="850"/>
        <w:gridCol w:w="1593"/>
      </w:tblGrid>
      <w:tr w:rsidR="00C65152">
        <w:trPr>
          <w:trHeight w:val="270"/>
          <w:tblHeader/>
          <w:jc w:val="center"/>
        </w:trPr>
        <w:tc>
          <w:tcPr>
            <w:tcW w:w="850"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铅（mg/kg）</w:t>
            </w:r>
          </w:p>
        </w:tc>
        <w:tc>
          <w:tcPr>
            <w:tcW w:w="850"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l2br w:val="nil"/>
              <w:tr2bl w:val="nil"/>
            </w:tcBorders>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铅（mg/kg）</w:t>
            </w:r>
          </w:p>
        </w:tc>
        <w:tc>
          <w:tcPr>
            <w:tcW w:w="850" w:type="dxa"/>
            <w:tcBorders>
              <w:tl2br w:val="nil"/>
              <w:tr2bl w:val="nil"/>
            </w:tcBorders>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tcBorders>
              <w:tl2br w:val="nil"/>
              <w:tr2bl w:val="nil"/>
            </w:tcBorders>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铅（mg/kg）</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63</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33</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34</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65</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66</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36</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0.3</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67</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0.035</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37</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68</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38</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69</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39</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70</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71</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41</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72</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&lt;0.1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0.021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42</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73</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&lt;0.1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43</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74</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&lt;0.1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44</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75</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14</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45</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76</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46</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77</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47</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78</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17</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79</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18</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0.044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49</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80</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19</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50</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81</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20</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51</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82</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21</w:t>
            </w:r>
          </w:p>
        </w:tc>
        <w:tc>
          <w:tcPr>
            <w:tcW w:w="1593"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52</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83</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22</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53</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84</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23</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54</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0.2</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85</w:t>
            </w:r>
          </w:p>
        </w:tc>
        <w:tc>
          <w:tcPr>
            <w:tcW w:w="1593" w:type="dxa"/>
            <w:tcBorders>
              <w:tl2br w:val="nil"/>
              <w:tr2bl w:val="nil"/>
            </w:tcBorders>
            <w:shd w:val="clear" w:color="000000"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0.9</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24</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0.4</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55</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86</w:t>
            </w:r>
          </w:p>
        </w:tc>
        <w:tc>
          <w:tcPr>
            <w:tcW w:w="1593" w:type="dxa"/>
            <w:tcBorders>
              <w:tl2br w:val="nil"/>
              <w:tr2bl w:val="nil"/>
            </w:tcBorders>
            <w:shd w:val="clear" w:color="000000"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0.2</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87</w:t>
            </w:r>
          </w:p>
        </w:tc>
        <w:tc>
          <w:tcPr>
            <w:tcW w:w="1593" w:type="dxa"/>
            <w:tcBorders>
              <w:tl2br w:val="nil"/>
              <w:tr2bl w:val="nil"/>
            </w:tcBorders>
            <w:shd w:val="clear" w:color="000000"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26</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0.3</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57</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88</w:t>
            </w:r>
          </w:p>
        </w:tc>
        <w:tc>
          <w:tcPr>
            <w:tcW w:w="1593" w:type="dxa"/>
            <w:tcBorders>
              <w:tl2br w:val="nil"/>
              <w:tr2bl w:val="nil"/>
            </w:tcBorders>
            <w:shd w:val="clear" w:color="000000"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27</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58</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89</w:t>
            </w:r>
          </w:p>
        </w:tc>
        <w:tc>
          <w:tcPr>
            <w:tcW w:w="1593" w:type="dxa"/>
            <w:tcBorders>
              <w:tl2br w:val="nil"/>
              <w:tr2bl w:val="nil"/>
            </w:tcBorders>
            <w:shd w:val="clear" w:color="000000"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28</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59</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90</w:t>
            </w:r>
          </w:p>
        </w:tc>
        <w:tc>
          <w:tcPr>
            <w:tcW w:w="1593" w:type="dxa"/>
            <w:tcBorders>
              <w:tl2br w:val="nil"/>
              <w:tr2bl w:val="nil"/>
            </w:tcBorders>
            <w:shd w:val="clear" w:color="000000"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29</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60</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91</w:t>
            </w:r>
          </w:p>
        </w:tc>
        <w:tc>
          <w:tcPr>
            <w:tcW w:w="1593" w:type="dxa"/>
            <w:tcBorders>
              <w:tl2br w:val="nil"/>
              <w:tr2bl w:val="nil"/>
            </w:tcBorders>
            <w:shd w:val="clear" w:color="000000"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30</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61</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92</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31</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62</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tcBorders>
              <w:tl2br w:val="nil"/>
              <w:tr2bl w:val="nil"/>
            </w:tcBorders>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93</w:t>
            </w:r>
          </w:p>
        </w:tc>
        <w:tc>
          <w:tcPr>
            <w:tcW w:w="1593" w:type="dxa"/>
            <w:tcBorders>
              <w:tl2br w:val="nil"/>
              <w:tr2bl w:val="nil"/>
            </w:tcBorders>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0.3</w:t>
            </w:r>
          </w:p>
        </w:tc>
      </w:tr>
    </w:tbl>
    <w:p w:rsidR="00C65152" w:rsidRDefault="00372EC6">
      <w:pPr>
        <w:spacing w:before="240" w:line="360" w:lineRule="auto"/>
        <w:ind w:firstLineChars="200" w:firstLine="560"/>
        <w:rPr>
          <w:rFonts w:ascii="宋体" w:hAnsi="宋体"/>
          <w:sz w:val="28"/>
          <w:szCs w:val="28"/>
        </w:rPr>
      </w:pPr>
      <w:r>
        <w:rPr>
          <w:rFonts w:hint="eastAsia"/>
          <w:sz w:val="28"/>
          <w:szCs w:val="28"/>
        </w:rPr>
        <w:t>总砷。</w:t>
      </w:r>
      <w:r>
        <w:rPr>
          <w:rFonts w:ascii="宋体" w:hAnsi="宋体" w:hint="eastAsia"/>
          <w:sz w:val="28"/>
          <w:szCs w:val="28"/>
        </w:rPr>
        <w:t>标准起草工作组根据检测的97个果蔬洗涤盐样品总砷进行了统计，</w:t>
      </w:r>
      <w:r>
        <w:rPr>
          <w:rFonts w:hint="eastAsia"/>
          <w:sz w:val="28"/>
          <w:szCs w:val="28"/>
        </w:rPr>
        <w:t>总砷含量均小于等于</w:t>
      </w:r>
      <w:r>
        <w:rPr>
          <w:rFonts w:ascii="宋体" w:hAnsi="宋体" w:hint="eastAsia"/>
          <w:sz w:val="28"/>
          <w:szCs w:val="28"/>
        </w:rPr>
        <w:t>0.2mg/kg</w:t>
      </w:r>
      <w:r>
        <w:rPr>
          <w:rFonts w:hint="eastAsia"/>
          <w:sz w:val="28"/>
          <w:szCs w:val="28"/>
        </w:rPr>
        <w:t>，具体</w:t>
      </w:r>
      <w:r>
        <w:rPr>
          <w:rFonts w:ascii="宋体" w:hAnsi="宋体" w:hint="eastAsia"/>
          <w:sz w:val="28"/>
          <w:szCs w:val="28"/>
        </w:rPr>
        <w:t>数据见表5。</w:t>
      </w:r>
    </w:p>
    <w:p w:rsidR="00C65152" w:rsidRDefault="00372EC6">
      <w:pPr>
        <w:spacing w:before="240" w:line="360" w:lineRule="auto"/>
        <w:jc w:val="center"/>
        <w:rPr>
          <w:rFonts w:ascii="宋体" w:hAnsi="宋体"/>
          <w:sz w:val="28"/>
          <w:szCs w:val="28"/>
        </w:rPr>
      </w:pPr>
      <w:r>
        <w:rPr>
          <w:rFonts w:ascii="宋体" w:hAnsi="宋体" w:hint="eastAsia"/>
          <w:sz w:val="28"/>
          <w:szCs w:val="28"/>
        </w:rPr>
        <w:t>表5所检果蔬洗涤盐产品的</w:t>
      </w:r>
      <w:r>
        <w:rPr>
          <w:rFonts w:hint="eastAsia"/>
          <w:sz w:val="28"/>
          <w:szCs w:val="28"/>
        </w:rPr>
        <w:t>总砷含量结果</w:t>
      </w:r>
    </w:p>
    <w:tbl>
      <w:tblPr>
        <w:tblW w:w="7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593"/>
        <w:gridCol w:w="850"/>
        <w:gridCol w:w="1593"/>
        <w:gridCol w:w="850"/>
        <w:gridCol w:w="1593"/>
      </w:tblGrid>
      <w:tr w:rsidR="00C65152">
        <w:trPr>
          <w:trHeight w:val="270"/>
          <w:tblHeader/>
          <w:jc w:val="center"/>
        </w:trPr>
        <w:tc>
          <w:tcPr>
            <w:tcW w:w="85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总砷（mg/kg）</w:t>
            </w:r>
          </w:p>
        </w:tc>
        <w:tc>
          <w:tcPr>
            <w:tcW w:w="85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总砷（mg/kg）</w:t>
            </w:r>
          </w:p>
        </w:tc>
        <w:tc>
          <w:tcPr>
            <w:tcW w:w="85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总砷（mg/kg）</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lastRenderedPageBreak/>
              <w:t>2</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69</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70</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71</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39</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41</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0.044</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0.004</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79</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14</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80</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81</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49</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17</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50</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18</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51</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19</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20</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21</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89</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90</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91</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59</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60</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61</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29</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30</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31</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c>
          <w:tcPr>
            <w:tcW w:w="1593"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c>
          <w:tcPr>
            <w:tcW w:w="1593"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r>
    </w:tbl>
    <w:p w:rsidR="00C65152" w:rsidRDefault="00372EC6">
      <w:pPr>
        <w:spacing w:before="240" w:line="360" w:lineRule="auto"/>
        <w:ind w:firstLineChars="200" w:firstLine="560"/>
        <w:rPr>
          <w:rFonts w:ascii="宋体" w:hAnsi="宋体"/>
          <w:sz w:val="28"/>
          <w:szCs w:val="28"/>
        </w:rPr>
      </w:pPr>
      <w:r>
        <w:rPr>
          <w:rFonts w:hint="eastAsia"/>
          <w:sz w:val="28"/>
          <w:szCs w:val="28"/>
        </w:rPr>
        <w:t>镉。</w:t>
      </w:r>
      <w:r>
        <w:rPr>
          <w:rFonts w:ascii="宋体" w:hAnsi="宋体" w:hint="eastAsia"/>
          <w:sz w:val="28"/>
          <w:szCs w:val="28"/>
        </w:rPr>
        <w:t>标准起草工作组根据检测的28个果蔬洗涤盐样品</w:t>
      </w:r>
      <w:r>
        <w:rPr>
          <w:rFonts w:hint="eastAsia"/>
          <w:sz w:val="28"/>
          <w:szCs w:val="28"/>
        </w:rPr>
        <w:t>镉</w:t>
      </w:r>
      <w:r>
        <w:rPr>
          <w:rFonts w:ascii="宋体" w:hAnsi="宋体" w:hint="eastAsia"/>
          <w:sz w:val="28"/>
          <w:szCs w:val="28"/>
        </w:rPr>
        <w:t>进行了统计，全部样品中</w:t>
      </w:r>
      <w:r>
        <w:rPr>
          <w:rFonts w:hint="eastAsia"/>
          <w:sz w:val="28"/>
          <w:szCs w:val="28"/>
        </w:rPr>
        <w:t>镉含量小于等于</w:t>
      </w:r>
      <w:r>
        <w:rPr>
          <w:rFonts w:ascii="宋体" w:hAnsi="宋体" w:hint="eastAsia"/>
          <w:sz w:val="28"/>
          <w:szCs w:val="28"/>
        </w:rPr>
        <w:t>0.1mg/kg</w:t>
      </w:r>
      <w:r>
        <w:rPr>
          <w:rFonts w:hint="eastAsia"/>
          <w:sz w:val="28"/>
          <w:szCs w:val="28"/>
        </w:rPr>
        <w:t>，具体</w:t>
      </w:r>
      <w:r>
        <w:rPr>
          <w:rFonts w:ascii="宋体" w:hAnsi="宋体" w:hint="eastAsia"/>
          <w:sz w:val="28"/>
          <w:szCs w:val="28"/>
        </w:rPr>
        <w:t>数据见表6。</w:t>
      </w:r>
    </w:p>
    <w:p w:rsidR="00C65152" w:rsidRDefault="00372EC6">
      <w:pPr>
        <w:spacing w:before="240" w:line="360" w:lineRule="auto"/>
        <w:jc w:val="center"/>
        <w:rPr>
          <w:sz w:val="28"/>
          <w:szCs w:val="28"/>
        </w:rPr>
      </w:pPr>
      <w:r>
        <w:rPr>
          <w:rFonts w:ascii="宋体" w:hAnsi="宋体" w:hint="eastAsia"/>
          <w:sz w:val="28"/>
          <w:szCs w:val="28"/>
        </w:rPr>
        <w:t>表6所检果蔬洗涤盐产品的</w:t>
      </w:r>
      <w:r>
        <w:rPr>
          <w:rFonts w:hint="eastAsia"/>
          <w:sz w:val="28"/>
          <w:szCs w:val="28"/>
        </w:rPr>
        <w:t>镉含量结果</w:t>
      </w:r>
    </w:p>
    <w:tbl>
      <w:tblPr>
        <w:tblW w:w="7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593"/>
        <w:gridCol w:w="850"/>
        <w:gridCol w:w="1593"/>
        <w:gridCol w:w="850"/>
        <w:gridCol w:w="1593"/>
      </w:tblGrid>
      <w:tr w:rsidR="00C65152">
        <w:trPr>
          <w:trHeight w:val="270"/>
          <w:tblHeader/>
          <w:jc w:val="center"/>
        </w:trPr>
        <w:tc>
          <w:tcPr>
            <w:tcW w:w="85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镉（mg/kg）</w:t>
            </w:r>
          </w:p>
        </w:tc>
        <w:tc>
          <w:tcPr>
            <w:tcW w:w="85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镉（mg/kg）</w:t>
            </w:r>
          </w:p>
        </w:tc>
        <w:tc>
          <w:tcPr>
            <w:tcW w:w="85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镉（mg/kg）</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21</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lastRenderedPageBreak/>
              <w:t>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0.003</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0.002</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19</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c>
          <w:tcPr>
            <w:tcW w:w="1593"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20</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c>
          <w:tcPr>
            <w:tcW w:w="1593"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r>
    </w:tbl>
    <w:p w:rsidR="00C65152" w:rsidRDefault="00372EC6">
      <w:pPr>
        <w:spacing w:before="240" w:line="360" w:lineRule="auto"/>
        <w:ind w:firstLineChars="200" w:firstLine="560"/>
        <w:rPr>
          <w:rFonts w:ascii="宋体" w:hAnsi="宋体"/>
          <w:sz w:val="28"/>
          <w:szCs w:val="28"/>
        </w:rPr>
      </w:pPr>
      <w:r>
        <w:rPr>
          <w:rFonts w:hint="eastAsia"/>
          <w:sz w:val="28"/>
          <w:szCs w:val="28"/>
        </w:rPr>
        <w:t>总汞。</w:t>
      </w:r>
      <w:r>
        <w:rPr>
          <w:rFonts w:ascii="宋体" w:hAnsi="宋体" w:hint="eastAsia"/>
          <w:sz w:val="28"/>
          <w:szCs w:val="28"/>
        </w:rPr>
        <w:t>标准起草工作组根据检测的29个果蔬洗涤盐样品</w:t>
      </w:r>
      <w:r>
        <w:rPr>
          <w:rFonts w:hint="eastAsia"/>
          <w:sz w:val="28"/>
          <w:szCs w:val="28"/>
        </w:rPr>
        <w:t>总汞</w:t>
      </w:r>
      <w:r>
        <w:rPr>
          <w:rFonts w:ascii="宋体" w:hAnsi="宋体" w:hint="eastAsia"/>
          <w:sz w:val="28"/>
          <w:szCs w:val="28"/>
        </w:rPr>
        <w:t>进行了统计，全部样品中</w:t>
      </w:r>
      <w:r>
        <w:rPr>
          <w:rFonts w:hint="eastAsia"/>
          <w:sz w:val="28"/>
          <w:szCs w:val="28"/>
        </w:rPr>
        <w:t>总汞含量小于等于</w:t>
      </w:r>
      <w:r>
        <w:rPr>
          <w:rFonts w:ascii="宋体" w:hAnsi="宋体" w:hint="eastAsia"/>
          <w:sz w:val="28"/>
          <w:szCs w:val="28"/>
        </w:rPr>
        <w:t>0.1mg/kg</w:t>
      </w:r>
      <w:r>
        <w:rPr>
          <w:rFonts w:hint="eastAsia"/>
          <w:sz w:val="28"/>
          <w:szCs w:val="28"/>
        </w:rPr>
        <w:t>，具体</w:t>
      </w:r>
      <w:r>
        <w:rPr>
          <w:rFonts w:ascii="宋体" w:hAnsi="宋体" w:hint="eastAsia"/>
          <w:sz w:val="28"/>
          <w:szCs w:val="28"/>
        </w:rPr>
        <w:t>数据见表7。</w:t>
      </w:r>
    </w:p>
    <w:p w:rsidR="00C65152" w:rsidRDefault="00372EC6">
      <w:pPr>
        <w:spacing w:before="240" w:line="360" w:lineRule="auto"/>
        <w:jc w:val="center"/>
        <w:rPr>
          <w:rFonts w:ascii="宋体" w:hAnsi="宋体"/>
          <w:sz w:val="28"/>
          <w:szCs w:val="28"/>
        </w:rPr>
      </w:pPr>
      <w:r>
        <w:rPr>
          <w:rFonts w:ascii="宋体" w:hAnsi="宋体" w:hint="eastAsia"/>
          <w:sz w:val="28"/>
          <w:szCs w:val="28"/>
        </w:rPr>
        <w:t>表7所检果蔬洗涤盐产品的</w:t>
      </w:r>
      <w:r>
        <w:rPr>
          <w:rFonts w:hint="eastAsia"/>
          <w:sz w:val="28"/>
          <w:szCs w:val="28"/>
        </w:rPr>
        <w:t>总汞含量结果</w:t>
      </w:r>
    </w:p>
    <w:tbl>
      <w:tblPr>
        <w:tblW w:w="7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593"/>
        <w:gridCol w:w="850"/>
        <w:gridCol w:w="1593"/>
        <w:gridCol w:w="850"/>
        <w:gridCol w:w="1593"/>
      </w:tblGrid>
      <w:tr w:rsidR="00C65152">
        <w:trPr>
          <w:trHeight w:val="270"/>
          <w:tblHeader/>
          <w:jc w:val="center"/>
        </w:trPr>
        <w:tc>
          <w:tcPr>
            <w:tcW w:w="85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总汞（mg/kg）</w:t>
            </w:r>
          </w:p>
        </w:tc>
        <w:tc>
          <w:tcPr>
            <w:tcW w:w="85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总汞（mg/kg）</w:t>
            </w:r>
          </w:p>
        </w:tc>
        <w:tc>
          <w:tcPr>
            <w:tcW w:w="85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593" w:type="dxa"/>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总汞（mg/kg）</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21</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22</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0.006</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23</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0.0075</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24</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26</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27</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28</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19</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29</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w:t>
            </w:r>
          </w:p>
        </w:tc>
      </w:tr>
      <w:tr w:rsidR="00C65152">
        <w:trPr>
          <w:trHeight w:val="270"/>
          <w:jc w:val="center"/>
        </w:trPr>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593"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20</w:t>
            </w:r>
          </w:p>
        </w:tc>
        <w:tc>
          <w:tcPr>
            <w:tcW w:w="1593"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未检出</w:t>
            </w:r>
          </w:p>
        </w:tc>
        <w:tc>
          <w:tcPr>
            <w:tcW w:w="850"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c>
          <w:tcPr>
            <w:tcW w:w="1593" w:type="dxa"/>
            <w:shd w:val="clear" w:color="auto" w:fill="auto"/>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r>
    </w:tbl>
    <w:p w:rsidR="00C65152" w:rsidRDefault="00372EC6">
      <w:pPr>
        <w:spacing w:before="240" w:line="360" w:lineRule="auto"/>
        <w:ind w:firstLineChars="200" w:firstLine="560"/>
        <w:rPr>
          <w:rFonts w:ascii="宋体" w:hAnsi="宋体"/>
          <w:sz w:val="28"/>
          <w:szCs w:val="28"/>
        </w:rPr>
      </w:pPr>
      <w:r>
        <w:rPr>
          <w:rFonts w:hint="eastAsia"/>
          <w:sz w:val="28"/>
          <w:szCs w:val="28"/>
        </w:rPr>
        <w:t>钡。</w:t>
      </w:r>
      <w:r>
        <w:rPr>
          <w:rFonts w:ascii="宋体" w:hAnsi="宋体" w:hint="eastAsia"/>
          <w:sz w:val="28"/>
          <w:szCs w:val="28"/>
        </w:rPr>
        <w:t>标准起草工作组根据检测的22个果蔬洗涤盐样品钡进行了统计，全部样品中</w:t>
      </w:r>
      <w:r>
        <w:rPr>
          <w:rFonts w:hint="eastAsia"/>
          <w:sz w:val="28"/>
          <w:szCs w:val="28"/>
        </w:rPr>
        <w:t>钡含量小于</w:t>
      </w:r>
      <w:r>
        <w:rPr>
          <w:rFonts w:ascii="宋体" w:hAnsi="宋体" w:hint="eastAsia"/>
          <w:sz w:val="28"/>
          <w:szCs w:val="28"/>
        </w:rPr>
        <w:t>15mg/kg</w:t>
      </w:r>
      <w:r>
        <w:rPr>
          <w:rFonts w:hint="eastAsia"/>
          <w:sz w:val="28"/>
          <w:szCs w:val="28"/>
        </w:rPr>
        <w:t>，具体</w:t>
      </w:r>
      <w:r>
        <w:rPr>
          <w:rFonts w:ascii="宋体" w:hAnsi="宋体" w:hint="eastAsia"/>
          <w:sz w:val="28"/>
          <w:szCs w:val="28"/>
        </w:rPr>
        <w:t>数据见表8。</w:t>
      </w:r>
    </w:p>
    <w:p w:rsidR="00C65152" w:rsidRDefault="00372EC6">
      <w:pPr>
        <w:spacing w:before="240" w:line="360" w:lineRule="auto"/>
        <w:jc w:val="center"/>
        <w:rPr>
          <w:rFonts w:ascii="宋体" w:hAnsi="宋体"/>
          <w:sz w:val="28"/>
          <w:szCs w:val="28"/>
        </w:rPr>
      </w:pPr>
      <w:r>
        <w:rPr>
          <w:rFonts w:ascii="宋体" w:hAnsi="宋体" w:hint="eastAsia"/>
          <w:sz w:val="28"/>
          <w:szCs w:val="28"/>
        </w:rPr>
        <w:t>表8所检果蔬洗涤盐产品的</w:t>
      </w:r>
      <w:r>
        <w:rPr>
          <w:rFonts w:hint="eastAsia"/>
          <w:sz w:val="28"/>
          <w:szCs w:val="28"/>
        </w:rPr>
        <w:t>钡含量结果</w:t>
      </w:r>
    </w:p>
    <w:tbl>
      <w:tblPr>
        <w:tblW w:w="6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206"/>
        <w:gridCol w:w="1080"/>
        <w:gridCol w:w="1206"/>
        <w:gridCol w:w="1080"/>
        <w:gridCol w:w="1206"/>
      </w:tblGrid>
      <w:tr w:rsidR="00C65152">
        <w:trPr>
          <w:trHeight w:val="270"/>
          <w:tblHeader/>
          <w:jc w:val="center"/>
        </w:trPr>
        <w:tc>
          <w:tcPr>
            <w:tcW w:w="108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206" w:type="dxa"/>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钡（mg/kg）</w:t>
            </w:r>
          </w:p>
        </w:tc>
        <w:tc>
          <w:tcPr>
            <w:tcW w:w="108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206" w:type="dxa"/>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钡（mg/kg）</w:t>
            </w:r>
          </w:p>
        </w:tc>
        <w:tc>
          <w:tcPr>
            <w:tcW w:w="1080" w:type="dxa"/>
            <w:shd w:val="clear" w:color="auto" w:fill="D8D8D8" w:themeFill="background1" w:themeFillShade="D8"/>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序号</w:t>
            </w:r>
          </w:p>
        </w:tc>
        <w:tc>
          <w:tcPr>
            <w:tcW w:w="1206" w:type="dxa"/>
            <w:shd w:val="clear" w:color="auto" w:fill="D8D8D8" w:themeFill="background1" w:themeFillShade="D8"/>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sz w:val="22"/>
              </w:rPr>
              <w:t>钡（mg/kg）</w:t>
            </w:r>
          </w:p>
        </w:tc>
      </w:tr>
      <w:tr w:rsidR="00C65152">
        <w:trPr>
          <w:trHeight w:val="270"/>
          <w:jc w:val="center"/>
        </w:trPr>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0.207</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17</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r>
      <w:tr w:rsidR="00C65152">
        <w:trPr>
          <w:trHeight w:val="270"/>
          <w:jc w:val="center"/>
        </w:trPr>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0.070</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18</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r>
      <w:tr w:rsidR="00C65152">
        <w:trPr>
          <w:trHeight w:val="270"/>
          <w:jc w:val="center"/>
        </w:trPr>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1.932</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19</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r>
      <w:tr w:rsidR="00C65152">
        <w:trPr>
          <w:trHeight w:val="270"/>
          <w:jc w:val="center"/>
        </w:trPr>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0.093</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0.768</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20</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r>
      <w:tr w:rsidR="00C65152">
        <w:trPr>
          <w:trHeight w:val="270"/>
          <w:jc w:val="center"/>
        </w:trPr>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0.548</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0.895</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21</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r>
      <w:tr w:rsidR="00C65152">
        <w:trPr>
          <w:trHeight w:val="270"/>
          <w:jc w:val="center"/>
        </w:trPr>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10.203</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14</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22</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r>
      <w:tr w:rsidR="00C65152">
        <w:trPr>
          <w:trHeight w:val="270"/>
          <w:jc w:val="center"/>
        </w:trPr>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lastRenderedPageBreak/>
              <w:t>7</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0.139</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080"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c>
          <w:tcPr>
            <w:tcW w:w="1206"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r>
      <w:tr w:rsidR="00C65152">
        <w:trPr>
          <w:trHeight w:val="270"/>
          <w:jc w:val="center"/>
        </w:trPr>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0.141</w:t>
            </w:r>
          </w:p>
        </w:tc>
        <w:tc>
          <w:tcPr>
            <w:tcW w:w="1080" w:type="dxa"/>
            <w:shd w:val="clear" w:color="auto" w:fill="auto"/>
            <w:noWrap/>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1206" w:type="dxa"/>
            <w:shd w:val="clear" w:color="auto" w:fill="auto"/>
            <w:vAlign w:val="center"/>
          </w:tcPr>
          <w:p w:rsidR="00C65152" w:rsidRDefault="00372EC6">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080"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c>
          <w:tcPr>
            <w:tcW w:w="1206" w:type="dxa"/>
            <w:shd w:val="clear" w:color="auto" w:fill="auto"/>
            <w:noWrap/>
            <w:vAlign w:val="center"/>
          </w:tcPr>
          <w:p w:rsidR="00C65152" w:rsidRDefault="00372EC6">
            <w:pPr>
              <w:jc w:val="center"/>
              <w:rPr>
                <w:rFonts w:ascii="宋体" w:hAnsi="宋体" w:cs="宋体"/>
                <w:color w:val="000000"/>
                <w:sz w:val="22"/>
              </w:rPr>
            </w:pPr>
            <w:r>
              <w:rPr>
                <w:rFonts w:ascii="宋体" w:hAnsi="宋体" w:cs="宋体" w:hint="eastAsia"/>
                <w:color w:val="000000"/>
                <w:sz w:val="22"/>
              </w:rPr>
              <w:t>——</w:t>
            </w:r>
          </w:p>
        </w:tc>
      </w:tr>
    </w:tbl>
    <w:p w:rsidR="00C65152" w:rsidRDefault="00372EC6">
      <w:pPr>
        <w:spacing w:before="240" w:line="360" w:lineRule="auto"/>
        <w:ind w:firstLine="560"/>
        <w:rPr>
          <w:sz w:val="28"/>
          <w:szCs w:val="28"/>
        </w:rPr>
      </w:pPr>
      <w:r>
        <w:rPr>
          <w:rFonts w:hint="eastAsia"/>
          <w:sz w:val="28"/>
          <w:szCs w:val="28"/>
        </w:rPr>
        <w:t>本标准各项技术指标及污染物限量指标充分适配市场主流产品实际工况，能够全方位保障产品质量安全，指标设置兼具科学性与合理性。</w:t>
      </w:r>
    </w:p>
    <w:p w:rsidR="00C65152" w:rsidRDefault="00372EC6">
      <w:pPr>
        <w:spacing w:before="240" w:line="360" w:lineRule="auto"/>
        <w:rPr>
          <w:rFonts w:asciiTheme="minorEastAsia" w:eastAsiaTheme="minorEastAsia" w:hAnsiTheme="minorEastAsia"/>
          <w:b/>
          <w:sz w:val="28"/>
          <w:szCs w:val="28"/>
        </w:rPr>
      </w:pPr>
      <w:r>
        <w:rPr>
          <w:rFonts w:asciiTheme="minorEastAsia" w:eastAsiaTheme="minorEastAsia" w:hAnsiTheme="minorEastAsia" w:hint="eastAsia"/>
          <w:b/>
          <w:sz w:val="28"/>
          <w:szCs w:val="28"/>
        </w:rPr>
        <w:t>2</w:t>
      </w:r>
      <w:r>
        <w:rPr>
          <w:rFonts w:asciiTheme="minorEastAsia" w:eastAsiaTheme="minorEastAsia" w:hAnsiTheme="minorEastAsia"/>
          <w:b/>
          <w:sz w:val="28"/>
          <w:szCs w:val="28"/>
        </w:rPr>
        <w:t>.2.5</w:t>
      </w:r>
      <w:r>
        <w:rPr>
          <w:rFonts w:asciiTheme="minorEastAsia" w:eastAsiaTheme="minorEastAsia" w:hAnsiTheme="minorEastAsia" w:hint="eastAsia"/>
          <w:b/>
          <w:sz w:val="28"/>
          <w:szCs w:val="28"/>
        </w:rPr>
        <w:t>净含量</w:t>
      </w:r>
      <w:r>
        <w:rPr>
          <w:rFonts w:asciiTheme="minorEastAsia" w:eastAsiaTheme="minorEastAsia" w:hAnsiTheme="minorEastAsia"/>
          <w:b/>
          <w:sz w:val="28"/>
          <w:szCs w:val="28"/>
        </w:rPr>
        <w:t xml:space="preserve"> </w:t>
      </w:r>
    </w:p>
    <w:p w:rsidR="00C65152" w:rsidRDefault="00372EC6">
      <w:pPr>
        <w:spacing w:before="240" w:line="360" w:lineRule="auto"/>
        <w:ind w:firstLine="560"/>
        <w:rPr>
          <w:sz w:val="28"/>
          <w:szCs w:val="28"/>
        </w:rPr>
      </w:pPr>
      <w:r>
        <w:rPr>
          <w:rFonts w:hint="eastAsia"/>
          <w:sz w:val="28"/>
          <w:szCs w:val="28"/>
        </w:rPr>
        <w:t>净含量应符合《定量包装商品计量监督管理办法》的规定。</w:t>
      </w:r>
    </w:p>
    <w:p w:rsidR="00C65152" w:rsidRDefault="00372EC6">
      <w:pPr>
        <w:spacing w:before="240" w:line="360" w:lineRule="auto"/>
        <w:rPr>
          <w:rFonts w:asciiTheme="minorEastAsia" w:eastAsiaTheme="minorEastAsia" w:hAnsiTheme="minorEastAsia"/>
          <w:b/>
          <w:sz w:val="28"/>
          <w:szCs w:val="28"/>
        </w:rPr>
      </w:pPr>
      <w:r>
        <w:rPr>
          <w:rFonts w:asciiTheme="minorEastAsia" w:eastAsiaTheme="minorEastAsia" w:hAnsiTheme="minorEastAsia" w:hint="eastAsia"/>
          <w:b/>
          <w:sz w:val="28"/>
          <w:szCs w:val="28"/>
        </w:rPr>
        <w:t>2</w:t>
      </w:r>
      <w:r>
        <w:rPr>
          <w:rFonts w:asciiTheme="minorEastAsia" w:eastAsiaTheme="minorEastAsia" w:hAnsiTheme="minorEastAsia"/>
          <w:b/>
          <w:sz w:val="28"/>
          <w:szCs w:val="28"/>
        </w:rPr>
        <w:t xml:space="preserve">.3 </w:t>
      </w:r>
      <w:r>
        <w:rPr>
          <w:rFonts w:asciiTheme="minorEastAsia" w:eastAsiaTheme="minorEastAsia" w:hAnsiTheme="minorEastAsia" w:hint="eastAsia"/>
          <w:b/>
          <w:sz w:val="28"/>
          <w:szCs w:val="28"/>
        </w:rPr>
        <w:t>试验方法</w:t>
      </w:r>
    </w:p>
    <w:p w:rsidR="00C65152" w:rsidRDefault="00372EC6">
      <w:pPr>
        <w:spacing w:before="240" w:line="360" w:lineRule="auto"/>
        <w:ind w:firstLine="570"/>
        <w:rPr>
          <w:sz w:val="28"/>
          <w:szCs w:val="28"/>
        </w:rPr>
      </w:pPr>
      <w:r>
        <w:rPr>
          <w:rFonts w:hint="eastAsia"/>
          <w:sz w:val="28"/>
          <w:szCs w:val="28"/>
        </w:rPr>
        <w:t>本标准规定了各个指标相应的试验方法，其中去除率比值的测定方法，经过验证，检测方法的准确性良好，具体见“三、主要试验（或验证）情况”。</w:t>
      </w:r>
    </w:p>
    <w:p w:rsidR="00C65152" w:rsidRDefault="00372EC6">
      <w:pPr>
        <w:spacing w:before="240" w:line="360" w:lineRule="auto"/>
        <w:rPr>
          <w:rFonts w:asciiTheme="minorEastAsia" w:eastAsiaTheme="minorEastAsia" w:hAnsiTheme="minorEastAsia"/>
          <w:b/>
          <w:sz w:val="28"/>
          <w:szCs w:val="28"/>
        </w:rPr>
      </w:pPr>
      <w:r>
        <w:rPr>
          <w:rFonts w:asciiTheme="minorEastAsia" w:eastAsiaTheme="minorEastAsia" w:hAnsiTheme="minorEastAsia" w:hint="eastAsia"/>
          <w:b/>
          <w:sz w:val="28"/>
          <w:szCs w:val="28"/>
        </w:rPr>
        <w:t>2</w:t>
      </w:r>
      <w:r>
        <w:rPr>
          <w:rFonts w:asciiTheme="minorEastAsia" w:eastAsiaTheme="minorEastAsia" w:hAnsiTheme="minorEastAsia"/>
          <w:b/>
          <w:sz w:val="28"/>
          <w:szCs w:val="28"/>
        </w:rPr>
        <w:t>.4</w:t>
      </w:r>
      <w:r>
        <w:rPr>
          <w:rFonts w:hint="eastAsia"/>
        </w:rPr>
        <w:t xml:space="preserve"> </w:t>
      </w:r>
      <w:r>
        <w:rPr>
          <w:rFonts w:asciiTheme="minorEastAsia" w:eastAsiaTheme="minorEastAsia" w:hAnsiTheme="minorEastAsia" w:hint="eastAsia"/>
          <w:b/>
          <w:sz w:val="28"/>
          <w:szCs w:val="28"/>
        </w:rPr>
        <w:t>检验规则、标志、包装、运输、贮存</w:t>
      </w:r>
    </w:p>
    <w:p w:rsidR="00C65152" w:rsidRDefault="00372EC6">
      <w:pPr>
        <w:spacing w:before="240" w:line="360" w:lineRule="auto"/>
        <w:ind w:firstLineChars="200" w:firstLine="560"/>
        <w:rPr>
          <w:sz w:val="28"/>
          <w:szCs w:val="28"/>
        </w:rPr>
      </w:pPr>
      <w:r>
        <w:rPr>
          <w:rFonts w:hint="eastAsia"/>
          <w:sz w:val="28"/>
          <w:szCs w:val="28"/>
        </w:rPr>
        <w:t>本标准就检验规则、判定规则、标志、包装、运输、贮存进行了规定。</w:t>
      </w:r>
    </w:p>
    <w:p w:rsidR="00C65152" w:rsidRDefault="00372EC6">
      <w:pPr>
        <w:spacing w:before="240" w:line="360" w:lineRule="auto"/>
        <w:rPr>
          <w:rFonts w:ascii="宋体"/>
          <w:b/>
          <w:kern w:val="0"/>
          <w:sz w:val="28"/>
          <w:szCs w:val="28"/>
        </w:rPr>
      </w:pPr>
      <w:r>
        <w:rPr>
          <w:rFonts w:asciiTheme="minorEastAsia" w:eastAsiaTheme="minorEastAsia" w:hAnsiTheme="minorEastAsia"/>
          <w:b/>
          <w:sz w:val="28"/>
          <w:szCs w:val="28"/>
        </w:rPr>
        <w:t>3</w:t>
      </w:r>
      <w:r>
        <w:rPr>
          <w:rFonts w:ascii="宋体" w:hAnsi="宋体" w:hint="eastAsia"/>
          <w:b/>
          <w:kern w:val="0"/>
          <w:sz w:val="28"/>
          <w:szCs w:val="28"/>
        </w:rPr>
        <w:t>解决的主要问题</w:t>
      </w:r>
    </w:p>
    <w:p w:rsidR="00C65152" w:rsidRDefault="00372EC6">
      <w:pPr>
        <w:spacing w:before="240" w:line="360" w:lineRule="auto"/>
        <w:ind w:firstLine="570"/>
        <w:rPr>
          <w:sz w:val="28"/>
          <w:szCs w:val="28"/>
        </w:rPr>
      </w:pPr>
      <w:r>
        <w:rPr>
          <w:rFonts w:hint="eastAsia"/>
          <w:sz w:val="28"/>
          <w:szCs w:val="28"/>
        </w:rPr>
        <w:t>水果蔬菜的种植和培育过程，不可避免的会使用农药，而且有使用高毒农药或催熟剂等类激素药物的可能。水果蔬菜的农药残留问题严重威胁了人们的身体健康。日常的清水洗涤方法无法彻底去除农药残留。而氯化钠有一定的清洁和抑菌作用，长期以来，很多消费者习</w:t>
      </w:r>
      <w:r>
        <w:rPr>
          <w:rFonts w:hint="eastAsia"/>
          <w:sz w:val="28"/>
          <w:szCs w:val="28"/>
        </w:rPr>
        <w:lastRenderedPageBreak/>
        <w:t>惯用盐水清洗水果蔬菜，因此，一些盐业生产企业开发了果蔬洗涤盐。在添加助洗剂、表面活性剂或其它辅料后，果蔬洗涤盐可有效去除农药残留，目前市面上有大量的果蔬洗涤盐产品销售。</w:t>
      </w:r>
    </w:p>
    <w:p w:rsidR="00C65152" w:rsidRDefault="00372EC6">
      <w:pPr>
        <w:spacing w:before="240" w:line="360" w:lineRule="auto"/>
        <w:ind w:firstLine="570"/>
        <w:rPr>
          <w:sz w:val="28"/>
          <w:szCs w:val="28"/>
        </w:rPr>
      </w:pPr>
      <w:r>
        <w:rPr>
          <w:rFonts w:hint="eastAsia"/>
          <w:sz w:val="28"/>
          <w:szCs w:val="28"/>
        </w:rPr>
        <w:t>但是果蔬洗涤盐行业存在一些问题，主要有</w:t>
      </w:r>
    </w:p>
    <w:p w:rsidR="00C65152" w:rsidRDefault="00372EC6">
      <w:pPr>
        <w:spacing w:before="240" w:line="360" w:lineRule="auto"/>
        <w:ind w:firstLine="570"/>
        <w:rPr>
          <w:sz w:val="28"/>
          <w:szCs w:val="28"/>
        </w:rPr>
      </w:pPr>
      <w:r>
        <w:rPr>
          <w:rFonts w:hint="eastAsia"/>
          <w:sz w:val="28"/>
          <w:szCs w:val="28"/>
        </w:rPr>
        <w:t>1</w:t>
      </w:r>
      <w:r>
        <w:rPr>
          <w:rFonts w:hint="eastAsia"/>
          <w:sz w:val="28"/>
          <w:szCs w:val="28"/>
        </w:rPr>
        <w:t>、缺少对生产原料和对人体有害物质的控制要求。目前，果蔬洗涤盐生产厂家、产品种类众多，但执行的标准都是企业标准。一些企业标准中缺少对生产原料和对人体有害物质的控制要求，存在一定食品安全风险。果蔬洗涤盐作为与直接食用的瓜果蔬菜接触的产品，使用原料必须达到食品级，且应对其中的铅、砷、汞、镉等重金属元素含量进行控制。</w:t>
      </w:r>
    </w:p>
    <w:p w:rsidR="00C65152" w:rsidRDefault="00372EC6">
      <w:pPr>
        <w:spacing w:before="240" w:line="360" w:lineRule="auto"/>
        <w:ind w:firstLine="570"/>
        <w:rPr>
          <w:sz w:val="28"/>
          <w:szCs w:val="28"/>
        </w:rPr>
      </w:pPr>
      <w:r>
        <w:rPr>
          <w:rFonts w:hint="eastAsia"/>
          <w:sz w:val="28"/>
          <w:szCs w:val="28"/>
        </w:rPr>
        <w:t>2</w:t>
      </w:r>
      <w:r>
        <w:rPr>
          <w:rFonts w:hint="eastAsia"/>
          <w:sz w:val="28"/>
          <w:szCs w:val="28"/>
        </w:rPr>
        <w:t>、果蔬洗涤盐的使用效果没有保障。使用果蔬洗涤盐是为了达到清洁、去农残的效果，但许多企业标准中根本没有规定农药存留洗除率等特性指标，消费者使用果蔬洗涤盐其是否能达到理想的使用效果没有保障，存在着一些劣质产品滥竽充数的问题。</w:t>
      </w:r>
    </w:p>
    <w:p w:rsidR="00C65152" w:rsidRDefault="00372EC6">
      <w:pPr>
        <w:spacing w:before="240" w:line="360" w:lineRule="auto"/>
        <w:ind w:firstLine="570"/>
        <w:rPr>
          <w:sz w:val="28"/>
          <w:szCs w:val="28"/>
        </w:rPr>
      </w:pPr>
      <w:r>
        <w:rPr>
          <w:rFonts w:hint="eastAsia"/>
          <w:sz w:val="28"/>
          <w:szCs w:val="28"/>
        </w:rPr>
        <w:t>3</w:t>
      </w:r>
      <w:r>
        <w:rPr>
          <w:rFonts w:hint="eastAsia"/>
          <w:sz w:val="28"/>
          <w:szCs w:val="28"/>
        </w:rPr>
        <w:t>、无法有效实施监管。由于缺少统一的行业标准，市场监管部门无法对果蔬洗涤盐产品质量实施有效监管，无法对劣质产品进行有力的查处，生产使用双方也容易因产品质量问题产生纠纷，阻碍了果蔬洗涤盐产业的发展。</w:t>
      </w:r>
    </w:p>
    <w:p w:rsidR="00C65152" w:rsidRDefault="00372EC6">
      <w:pPr>
        <w:spacing w:before="240" w:line="360" w:lineRule="auto"/>
        <w:ind w:firstLine="570"/>
        <w:rPr>
          <w:sz w:val="28"/>
          <w:szCs w:val="28"/>
        </w:rPr>
      </w:pPr>
      <w:r>
        <w:rPr>
          <w:rFonts w:hint="eastAsia"/>
          <w:sz w:val="28"/>
          <w:szCs w:val="28"/>
        </w:rPr>
        <w:t>本标准围绕果蔬洗涤盐关键指标作出清晰界定，保障果蔬洗涤盐实际使用性能稳定可靠。一方面为市场监管部门开展果蔬洗涤盐产品</w:t>
      </w:r>
      <w:r>
        <w:rPr>
          <w:rFonts w:hint="eastAsia"/>
          <w:sz w:val="28"/>
          <w:szCs w:val="28"/>
        </w:rPr>
        <w:lastRenderedPageBreak/>
        <w:t>质量监督执法提供技术支撑，规范产品生产、流通全链条市场经营秩序，助推行业稳健高质量发展；另一方面能够实现对市面在售同类产品的常态化有效管控，守住产品质量安全底线，切实维护消费者身体健康与合法权益。</w:t>
      </w:r>
    </w:p>
    <w:p w:rsidR="00C65152" w:rsidRDefault="00372EC6">
      <w:pPr>
        <w:spacing w:line="360" w:lineRule="auto"/>
        <w:rPr>
          <w:rFonts w:ascii="宋体" w:hAnsi="宋体"/>
          <w:b/>
          <w:kern w:val="0"/>
          <w:sz w:val="28"/>
          <w:szCs w:val="28"/>
        </w:rPr>
      </w:pPr>
      <w:r>
        <w:rPr>
          <w:rFonts w:ascii="宋体" w:hAnsi="宋体" w:hint="eastAsia"/>
          <w:b/>
          <w:kern w:val="0"/>
          <w:sz w:val="28"/>
          <w:szCs w:val="28"/>
        </w:rPr>
        <w:t>三、主要试验（或验证）情况</w:t>
      </w:r>
    </w:p>
    <w:p w:rsidR="00C65152" w:rsidRDefault="00372EC6">
      <w:pPr>
        <w:spacing w:before="240" w:line="360" w:lineRule="auto"/>
        <w:ind w:firstLineChars="200" w:firstLine="560"/>
        <w:rPr>
          <w:sz w:val="28"/>
          <w:szCs w:val="28"/>
        </w:rPr>
      </w:pPr>
      <w:r>
        <w:rPr>
          <w:rFonts w:hint="eastAsia"/>
          <w:sz w:val="28"/>
          <w:szCs w:val="28"/>
        </w:rPr>
        <w:t>本标准的检验方法基本采用了现成的检测方法标准，只增加了去除率的测定方法。去除率的测定主要采用</w:t>
      </w:r>
      <w:r>
        <w:rPr>
          <w:rFonts w:ascii="宋体" w:hAnsi="宋体" w:hint="eastAsia"/>
          <w:sz w:val="28"/>
          <w:szCs w:val="28"/>
        </w:rPr>
        <w:t>气相色谱-质谱联用内标法</w:t>
      </w:r>
      <w:r>
        <w:rPr>
          <w:rFonts w:hint="eastAsia"/>
          <w:sz w:val="28"/>
          <w:szCs w:val="28"/>
        </w:rPr>
        <w:t>进行测定，分别对出峰时间、精密度、准确度等参数进行验证。</w:t>
      </w:r>
    </w:p>
    <w:p w:rsidR="00C65152" w:rsidRDefault="00372EC6">
      <w:pPr>
        <w:spacing w:before="240" w:line="360" w:lineRule="auto"/>
        <w:ind w:firstLineChars="200" w:firstLine="560"/>
        <w:rPr>
          <w:sz w:val="28"/>
          <w:szCs w:val="28"/>
        </w:rPr>
      </w:pPr>
      <w:r>
        <w:rPr>
          <w:rFonts w:hint="eastAsia"/>
          <w:sz w:val="28"/>
          <w:szCs w:val="28"/>
        </w:rPr>
        <w:t xml:space="preserve">3.1 </w:t>
      </w:r>
      <w:r>
        <w:rPr>
          <w:rFonts w:hint="eastAsia"/>
          <w:sz w:val="28"/>
          <w:szCs w:val="28"/>
        </w:rPr>
        <w:t>出峰时间</w:t>
      </w:r>
    </w:p>
    <w:p w:rsidR="00C65152" w:rsidRDefault="00372EC6">
      <w:pPr>
        <w:pStyle w:val="a8"/>
        <w:ind w:firstLineChars="200" w:firstLine="560"/>
        <w:rPr>
          <w:sz w:val="28"/>
          <w:szCs w:val="28"/>
        </w:rPr>
      </w:pPr>
      <w:r>
        <w:rPr>
          <w:rFonts w:hint="eastAsia"/>
          <w:sz w:val="28"/>
          <w:szCs w:val="28"/>
        </w:rPr>
        <w:t>腐霉利定量离子为</w:t>
      </w:r>
      <w:r>
        <w:rPr>
          <w:rFonts w:hint="eastAsia"/>
          <w:sz w:val="28"/>
          <w:szCs w:val="28"/>
        </w:rPr>
        <w:t>283</w:t>
      </w:r>
      <w:r>
        <w:rPr>
          <w:rFonts w:hint="eastAsia"/>
          <w:sz w:val="28"/>
          <w:szCs w:val="28"/>
        </w:rPr>
        <w:t>，定性离子为</w:t>
      </w:r>
      <w:r>
        <w:rPr>
          <w:rFonts w:hint="eastAsia"/>
          <w:sz w:val="28"/>
          <w:szCs w:val="28"/>
        </w:rPr>
        <w:t>285</w:t>
      </w:r>
      <w:r>
        <w:rPr>
          <w:rFonts w:hint="eastAsia"/>
          <w:sz w:val="28"/>
          <w:szCs w:val="28"/>
        </w:rPr>
        <w:t>和</w:t>
      </w:r>
      <w:r>
        <w:rPr>
          <w:rFonts w:hint="eastAsia"/>
          <w:sz w:val="28"/>
          <w:szCs w:val="28"/>
        </w:rPr>
        <w:t>255</w:t>
      </w:r>
      <w:r>
        <w:rPr>
          <w:rFonts w:hint="eastAsia"/>
          <w:sz w:val="28"/>
          <w:szCs w:val="28"/>
        </w:rPr>
        <w:t>。确定选择离子扫描方法。并配制</w:t>
      </w:r>
      <w:r>
        <w:rPr>
          <w:rFonts w:hint="eastAsia"/>
          <w:sz w:val="28"/>
          <w:szCs w:val="28"/>
        </w:rPr>
        <w:t>3</w:t>
      </w:r>
      <w:r>
        <w:rPr>
          <w:rFonts w:hint="eastAsia"/>
          <w:sz w:val="28"/>
          <w:szCs w:val="28"/>
        </w:rPr>
        <w:t>个梯度混合标准物质，再次确定出峰时间（见图</w:t>
      </w:r>
      <w:r>
        <w:rPr>
          <w:rFonts w:hint="eastAsia"/>
          <w:sz w:val="28"/>
          <w:szCs w:val="28"/>
        </w:rPr>
        <w:t>5</w:t>
      </w:r>
      <w:r>
        <w:rPr>
          <w:rFonts w:hint="eastAsia"/>
          <w:sz w:val="28"/>
          <w:szCs w:val="28"/>
        </w:rPr>
        <w:t>）。</w:t>
      </w:r>
    </w:p>
    <w:p w:rsidR="00C65152" w:rsidRDefault="00372EC6">
      <w:pPr>
        <w:pStyle w:val="a8"/>
        <w:jc w:val="center"/>
        <w:rPr>
          <w:sz w:val="28"/>
          <w:szCs w:val="28"/>
        </w:rPr>
      </w:pPr>
      <w:r>
        <w:rPr>
          <w:rFonts w:hint="eastAsia"/>
          <w:noProof/>
          <w:sz w:val="28"/>
          <w:szCs w:val="28"/>
        </w:rPr>
        <w:drawing>
          <wp:inline distT="0" distB="0" distL="114300" distR="114300">
            <wp:extent cx="5175885" cy="1722120"/>
            <wp:effectExtent l="0" t="0" r="5715" b="11430"/>
            <wp:docPr id="15" name="图片 15" descr="新建位图图像 -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新建位图图像 -终"/>
                    <pic:cNvPicPr>
                      <a:picLocks noChangeAspect="1"/>
                    </pic:cNvPicPr>
                  </pic:nvPicPr>
                  <pic:blipFill>
                    <a:blip r:embed="rId14"/>
                    <a:srcRect r="23483" b="30734"/>
                    <a:stretch>
                      <a:fillRect/>
                    </a:stretch>
                  </pic:blipFill>
                  <pic:spPr>
                    <a:xfrm>
                      <a:off x="0" y="0"/>
                      <a:ext cx="5175885" cy="1722120"/>
                    </a:xfrm>
                    <a:prstGeom prst="rect">
                      <a:avLst/>
                    </a:prstGeom>
                  </pic:spPr>
                </pic:pic>
              </a:graphicData>
            </a:graphic>
          </wp:inline>
        </w:drawing>
      </w:r>
    </w:p>
    <w:p w:rsidR="00C65152" w:rsidRDefault="00372EC6">
      <w:pPr>
        <w:spacing w:before="240" w:line="360" w:lineRule="auto"/>
        <w:ind w:firstLine="560"/>
        <w:jc w:val="center"/>
      </w:pPr>
      <w:r>
        <w:rPr>
          <w:rFonts w:hint="eastAsia"/>
          <w:sz w:val="28"/>
          <w:szCs w:val="28"/>
        </w:rPr>
        <w:t>图</w:t>
      </w:r>
      <w:r>
        <w:rPr>
          <w:rFonts w:hint="eastAsia"/>
          <w:sz w:val="28"/>
          <w:szCs w:val="28"/>
        </w:rPr>
        <w:t xml:space="preserve">5 </w:t>
      </w:r>
      <w:r>
        <w:rPr>
          <w:rFonts w:hint="eastAsia"/>
          <w:sz w:val="28"/>
          <w:szCs w:val="28"/>
        </w:rPr>
        <w:t>不同梯度标准物质出峰色谱图</w:t>
      </w:r>
    </w:p>
    <w:p w:rsidR="00C65152" w:rsidRDefault="00372EC6">
      <w:pPr>
        <w:spacing w:before="240" w:line="360" w:lineRule="auto"/>
        <w:ind w:firstLineChars="200" w:firstLine="560"/>
        <w:rPr>
          <w:sz w:val="28"/>
          <w:szCs w:val="28"/>
        </w:rPr>
      </w:pPr>
      <w:r>
        <w:rPr>
          <w:rFonts w:hint="eastAsia"/>
          <w:sz w:val="28"/>
          <w:szCs w:val="28"/>
        </w:rPr>
        <w:t xml:space="preserve">3.2 </w:t>
      </w:r>
      <w:r>
        <w:rPr>
          <w:rFonts w:hint="eastAsia"/>
          <w:sz w:val="28"/>
          <w:szCs w:val="28"/>
        </w:rPr>
        <w:t>检出限、定量限</w:t>
      </w:r>
    </w:p>
    <w:p w:rsidR="00C65152" w:rsidRDefault="00372EC6">
      <w:pPr>
        <w:pStyle w:val="a8"/>
        <w:ind w:firstLineChars="200" w:firstLine="560"/>
        <w:rPr>
          <w:sz w:val="28"/>
          <w:szCs w:val="28"/>
        </w:rPr>
      </w:pPr>
      <w:r>
        <w:rPr>
          <w:rFonts w:hint="eastAsia"/>
          <w:sz w:val="28"/>
          <w:szCs w:val="28"/>
        </w:rPr>
        <w:t>根据</w:t>
      </w:r>
      <w:r>
        <w:rPr>
          <w:rFonts w:hint="eastAsia"/>
          <w:sz w:val="28"/>
          <w:szCs w:val="28"/>
        </w:rPr>
        <w:t>GB/T 27417-2017</w:t>
      </w:r>
      <w:r>
        <w:rPr>
          <w:rFonts w:hint="eastAsia"/>
          <w:sz w:val="28"/>
          <w:szCs w:val="28"/>
        </w:rPr>
        <w:t>《化学分析方法确认和验证指南》，本标准采用信噪比评估检出限。利用已知低浓度的分析物样品与空白样品</w:t>
      </w:r>
      <w:r>
        <w:rPr>
          <w:rFonts w:hint="eastAsia"/>
          <w:sz w:val="28"/>
          <w:szCs w:val="28"/>
        </w:rPr>
        <w:lastRenderedPageBreak/>
        <w:t>的测量信号进行比较，确定能够可靠检出的最小浓度，典型的可接受的信噪比是</w:t>
      </w:r>
      <w:r>
        <w:rPr>
          <w:rFonts w:hint="eastAsia"/>
          <w:sz w:val="28"/>
          <w:szCs w:val="28"/>
        </w:rPr>
        <w:t>3:1</w:t>
      </w:r>
      <w:r>
        <w:rPr>
          <w:rFonts w:hint="eastAsia"/>
          <w:sz w:val="28"/>
          <w:szCs w:val="28"/>
        </w:rPr>
        <w:t>。该标准起草工作组将浓度</w:t>
      </w:r>
      <w:r>
        <w:rPr>
          <w:rFonts w:hint="eastAsia"/>
          <w:sz w:val="28"/>
          <w:szCs w:val="28"/>
        </w:rPr>
        <w:t>0.004mg/kg</w:t>
      </w:r>
      <w:r>
        <w:rPr>
          <w:rFonts w:hint="eastAsia"/>
          <w:sz w:val="28"/>
          <w:szCs w:val="28"/>
        </w:rPr>
        <w:t>的腐霉利进行检测，信噪比均大于</w:t>
      </w:r>
      <w:r>
        <w:rPr>
          <w:rFonts w:hint="eastAsia"/>
          <w:sz w:val="28"/>
          <w:szCs w:val="28"/>
        </w:rPr>
        <w:t>3:1</w:t>
      </w:r>
      <w:r>
        <w:rPr>
          <w:rFonts w:hint="eastAsia"/>
          <w:sz w:val="28"/>
          <w:szCs w:val="28"/>
        </w:rPr>
        <w:t>。可作为检出限，定量限即为</w:t>
      </w:r>
      <w:r>
        <w:rPr>
          <w:rFonts w:hint="eastAsia"/>
          <w:sz w:val="28"/>
          <w:szCs w:val="28"/>
        </w:rPr>
        <w:t>0.012mg/kg</w:t>
      </w:r>
      <w:r>
        <w:rPr>
          <w:rFonts w:hint="eastAsia"/>
          <w:sz w:val="28"/>
          <w:szCs w:val="28"/>
        </w:rPr>
        <w:t>。同时参考</w:t>
      </w:r>
      <w:r>
        <w:rPr>
          <w:rFonts w:hint="eastAsia"/>
          <w:sz w:val="28"/>
          <w:szCs w:val="28"/>
        </w:rPr>
        <w:t>GB 23200.8</w:t>
      </w:r>
      <w:r>
        <w:rPr>
          <w:rFonts w:hint="eastAsia"/>
          <w:sz w:val="28"/>
          <w:szCs w:val="28"/>
        </w:rPr>
        <w:t>中定量限，该标准定量限定为</w:t>
      </w:r>
      <w:r>
        <w:rPr>
          <w:rFonts w:hint="eastAsia"/>
          <w:sz w:val="28"/>
          <w:szCs w:val="28"/>
        </w:rPr>
        <w:t>0.0126mg/kg</w:t>
      </w:r>
      <w:r>
        <w:rPr>
          <w:rFonts w:hint="eastAsia"/>
          <w:sz w:val="28"/>
          <w:szCs w:val="28"/>
        </w:rPr>
        <w:t>。</w:t>
      </w:r>
    </w:p>
    <w:p w:rsidR="00C65152" w:rsidRDefault="00372EC6">
      <w:pPr>
        <w:spacing w:before="240" w:line="360" w:lineRule="auto"/>
        <w:ind w:firstLineChars="200" w:firstLine="560"/>
        <w:rPr>
          <w:sz w:val="28"/>
          <w:szCs w:val="28"/>
        </w:rPr>
      </w:pPr>
      <w:r>
        <w:rPr>
          <w:rFonts w:hint="eastAsia"/>
          <w:sz w:val="28"/>
          <w:szCs w:val="28"/>
        </w:rPr>
        <w:t xml:space="preserve">3.3 </w:t>
      </w:r>
      <w:r>
        <w:rPr>
          <w:rFonts w:hint="eastAsia"/>
          <w:sz w:val="28"/>
          <w:szCs w:val="28"/>
        </w:rPr>
        <w:t>精密度、正确度</w:t>
      </w:r>
    </w:p>
    <w:p w:rsidR="00C65152" w:rsidRDefault="00372EC6">
      <w:pPr>
        <w:spacing w:line="360" w:lineRule="auto"/>
        <w:ind w:firstLineChars="200" w:firstLine="560"/>
        <w:rPr>
          <w:sz w:val="28"/>
          <w:szCs w:val="28"/>
        </w:rPr>
      </w:pPr>
      <w:r>
        <w:rPr>
          <w:rFonts w:hint="eastAsia"/>
          <w:sz w:val="28"/>
          <w:szCs w:val="28"/>
        </w:rPr>
        <w:t>本标准通过加标回收率试验确认正确度。分别加入标准物质浓度分别是定量限的</w:t>
      </w:r>
      <w:r>
        <w:rPr>
          <w:rFonts w:hint="eastAsia"/>
          <w:sz w:val="28"/>
          <w:szCs w:val="28"/>
        </w:rPr>
        <w:t>2</w:t>
      </w:r>
      <w:r>
        <w:rPr>
          <w:rFonts w:hint="eastAsia"/>
          <w:sz w:val="28"/>
          <w:szCs w:val="28"/>
        </w:rPr>
        <w:t>倍、</w:t>
      </w:r>
      <w:r>
        <w:rPr>
          <w:rFonts w:hint="eastAsia"/>
          <w:sz w:val="28"/>
          <w:szCs w:val="28"/>
        </w:rPr>
        <w:t>5</w:t>
      </w:r>
      <w:r>
        <w:rPr>
          <w:rFonts w:hint="eastAsia"/>
          <w:sz w:val="28"/>
          <w:szCs w:val="28"/>
        </w:rPr>
        <w:t>倍，检测结果见表</w:t>
      </w:r>
      <w:r>
        <w:rPr>
          <w:rFonts w:hint="eastAsia"/>
          <w:sz w:val="28"/>
          <w:szCs w:val="28"/>
        </w:rPr>
        <w:t>9</w:t>
      </w:r>
      <w:r>
        <w:rPr>
          <w:rFonts w:hint="eastAsia"/>
          <w:sz w:val="28"/>
          <w:szCs w:val="28"/>
        </w:rPr>
        <w:t>。</w:t>
      </w:r>
      <w:r>
        <w:rPr>
          <w:rFonts w:hint="eastAsia"/>
          <w:sz w:val="28"/>
          <w:szCs w:val="28"/>
        </w:rPr>
        <w:t>RSD</w:t>
      </w:r>
      <w:r>
        <w:rPr>
          <w:rFonts w:hint="eastAsia"/>
          <w:sz w:val="28"/>
          <w:szCs w:val="28"/>
        </w:rPr>
        <w:t>在</w:t>
      </w:r>
      <w:r>
        <w:rPr>
          <w:rFonts w:hint="eastAsia"/>
          <w:sz w:val="28"/>
          <w:szCs w:val="28"/>
        </w:rPr>
        <w:t>6% ~ 11%</w:t>
      </w:r>
      <w:r>
        <w:rPr>
          <w:rFonts w:hint="eastAsia"/>
          <w:sz w:val="28"/>
          <w:szCs w:val="28"/>
        </w:rPr>
        <w:t>之间。满足</w:t>
      </w:r>
      <w:r>
        <w:rPr>
          <w:rFonts w:hint="eastAsia"/>
          <w:sz w:val="28"/>
          <w:szCs w:val="28"/>
        </w:rPr>
        <w:t>GB/T 27417-2017</w:t>
      </w:r>
      <w:r>
        <w:rPr>
          <w:rFonts w:hint="eastAsia"/>
          <w:sz w:val="28"/>
          <w:szCs w:val="28"/>
        </w:rPr>
        <w:t>的要求。</w:t>
      </w:r>
    </w:p>
    <w:p w:rsidR="00C65152" w:rsidRDefault="00372EC6">
      <w:pPr>
        <w:pStyle w:val="a8"/>
        <w:jc w:val="center"/>
      </w:pPr>
      <w:r>
        <w:rPr>
          <w:rFonts w:hint="eastAsia"/>
          <w:sz w:val="28"/>
          <w:szCs w:val="28"/>
        </w:rPr>
        <w:t>表</w:t>
      </w:r>
      <w:r>
        <w:rPr>
          <w:rFonts w:hint="eastAsia"/>
          <w:sz w:val="28"/>
          <w:szCs w:val="28"/>
        </w:rPr>
        <w:t xml:space="preserve">9 </w:t>
      </w:r>
      <w:r>
        <w:rPr>
          <w:rFonts w:hint="eastAsia"/>
          <w:sz w:val="28"/>
          <w:szCs w:val="28"/>
        </w:rPr>
        <w:t>精密度和正确度验证数据</w:t>
      </w:r>
    </w:p>
    <w:tbl>
      <w:tblPr>
        <w:tblStyle w:val="ad"/>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759"/>
        <w:gridCol w:w="861"/>
        <w:gridCol w:w="861"/>
        <w:gridCol w:w="861"/>
        <w:gridCol w:w="861"/>
        <w:gridCol w:w="861"/>
        <w:gridCol w:w="861"/>
        <w:gridCol w:w="861"/>
        <w:gridCol w:w="867"/>
        <w:gridCol w:w="739"/>
      </w:tblGrid>
      <w:tr w:rsidR="00C65152">
        <w:trPr>
          <w:tblHeader/>
          <w:jc w:val="center"/>
        </w:trPr>
        <w:tc>
          <w:tcPr>
            <w:tcW w:w="1413" w:type="dxa"/>
            <w:gridSpan w:val="2"/>
            <w:tcBorders>
              <w:top w:val="single" w:sz="12" w:space="0" w:color="000000"/>
              <w:left w:val="single" w:sz="12" w:space="0" w:color="000000"/>
              <w:bottom w:val="single" w:sz="12" w:space="0" w:color="000000"/>
            </w:tcBorders>
            <w:vAlign w:val="center"/>
          </w:tcPr>
          <w:p w:rsidR="00C65152" w:rsidRDefault="00372EC6">
            <w:pPr>
              <w:widowControl/>
              <w:kinsoku w:val="0"/>
              <w:topLinePunct/>
              <w:spacing w:line="360" w:lineRule="auto"/>
              <w:jc w:val="center"/>
              <w:textAlignment w:val="center"/>
              <w:rPr>
                <w:rFonts w:ascii="宋体" w:hAnsi="宋体"/>
                <w:szCs w:val="21"/>
              </w:rPr>
            </w:pPr>
            <w:r>
              <w:rPr>
                <w:rFonts w:ascii="宋体" w:hAnsi="宋体" w:hint="eastAsia"/>
                <w:szCs w:val="21"/>
              </w:rPr>
              <w:t>编号</w:t>
            </w:r>
          </w:p>
        </w:tc>
        <w:tc>
          <w:tcPr>
            <w:tcW w:w="861" w:type="dxa"/>
            <w:tcBorders>
              <w:top w:val="single" w:sz="12" w:space="0" w:color="000000"/>
              <w:bottom w:val="single" w:sz="12" w:space="0" w:color="000000"/>
            </w:tcBorders>
            <w:vAlign w:val="center"/>
          </w:tcPr>
          <w:p w:rsidR="00C65152" w:rsidRDefault="00372EC6">
            <w:pPr>
              <w:widowControl/>
              <w:kinsoku w:val="0"/>
              <w:topLinePunct/>
              <w:spacing w:line="360" w:lineRule="auto"/>
              <w:jc w:val="center"/>
              <w:textAlignment w:val="center"/>
              <w:rPr>
                <w:rFonts w:ascii="宋体" w:hAnsi="宋体"/>
                <w:szCs w:val="21"/>
              </w:rPr>
            </w:pPr>
            <w:r>
              <w:rPr>
                <w:rFonts w:ascii="宋体" w:hAnsi="宋体" w:hint="eastAsia"/>
                <w:szCs w:val="21"/>
              </w:rPr>
              <w:t>1</w:t>
            </w:r>
          </w:p>
        </w:tc>
        <w:tc>
          <w:tcPr>
            <w:tcW w:w="861" w:type="dxa"/>
            <w:tcBorders>
              <w:top w:val="single" w:sz="12" w:space="0" w:color="000000"/>
              <w:bottom w:val="single" w:sz="12" w:space="0" w:color="000000"/>
            </w:tcBorders>
            <w:vAlign w:val="center"/>
          </w:tcPr>
          <w:p w:rsidR="00C65152" w:rsidRDefault="00372EC6">
            <w:pPr>
              <w:widowControl/>
              <w:kinsoku w:val="0"/>
              <w:topLinePunct/>
              <w:spacing w:line="360" w:lineRule="auto"/>
              <w:jc w:val="center"/>
              <w:textAlignment w:val="center"/>
              <w:rPr>
                <w:rFonts w:ascii="宋体" w:hAnsi="宋体"/>
                <w:szCs w:val="21"/>
              </w:rPr>
            </w:pPr>
            <w:r>
              <w:rPr>
                <w:rFonts w:ascii="宋体" w:hAnsi="宋体" w:hint="eastAsia"/>
                <w:szCs w:val="21"/>
              </w:rPr>
              <w:t>2</w:t>
            </w:r>
          </w:p>
        </w:tc>
        <w:tc>
          <w:tcPr>
            <w:tcW w:w="861" w:type="dxa"/>
            <w:tcBorders>
              <w:top w:val="single" w:sz="12" w:space="0" w:color="000000"/>
              <w:bottom w:val="single" w:sz="12" w:space="0" w:color="000000"/>
            </w:tcBorders>
            <w:vAlign w:val="center"/>
          </w:tcPr>
          <w:p w:rsidR="00C65152" w:rsidRDefault="00372EC6">
            <w:pPr>
              <w:widowControl/>
              <w:kinsoku w:val="0"/>
              <w:topLinePunct/>
              <w:spacing w:line="360" w:lineRule="auto"/>
              <w:jc w:val="center"/>
              <w:textAlignment w:val="center"/>
              <w:rPr>
                <w:rFonts w:ascii="宋体" w:hAnsi="宋体"/>
                <w:szCs w:val="21"/>
              </w:rPr>
            </w:pPr>
            <w:r>
              <w:rPr>
                <w:rFonts w:ascii="宋体" w:hAnsi="宋体" w:hint="eastAsia"/>
                <w:szCs w:val="21"/>
              </w:rPr>
              <w:t>3</w:t>
            </w:r>
          </w:p>
        </w:tc>
        <w:tc>
          <w:tcPr>
            <w:tcW w:w="861" w:type="dxa"/>
            <w:tcBorders>
              <w:top w:val="single" w:sz="12" w:space="0" w:color="000000"/>
              <w:bottom w:val="single" w:sz="12" w:space="0" w:color="000000"/>
            </w:tcBorders>
            <w:vAlign w:val="center"/>
          </w:tcPr>
          <w:p w:rsidR="00C65152" w:rsidRDefault="00372EC6">
            <w:pPr>
              <w:widowControl/>
              <w:kinsoku w:val="0"/>
              <w:topLinePunct/>
              <w:spacing w:line="360" w:lineRule="auto"/>
              <w:jc w:val="center"/>
              <w:textAlignment w:val="center"/>
              <w:rPr>
                <w:rFonts w:ascii="宋体" w:hAnsi="宋体"/>
                <w:szCs w:val="21"/>
              </w:rPr>
            </w:pPr>
            <w:r>
              <w:rPr>
                <w:rFonts w:ascii="宋体" w:hAnsi="宋体" w:hint="eastAsia"/>
                <w:szCs w:val="21"/>
              </w:rPr>
              <w:t>4</w:t>
            </w:r>
          </w:p>
        </w:tc>
        <w:tc>
          <w:tcPr>
            <w:tcW w:w="861" w:type="dxa"/>
            <w:tcBorders>
              <w:top w:val="single" w:sz="12" w:space="0" w:color="000000"/>
              <w:bottom w:val="single" w:sz="12" w:space="0" w:color="000000"/>
            </w:tcBorders>
            <w:vAlign w:val="center"/>
          </w:tcPr>
          <w:p w:rsidR="00C65152" w:rsidRDefault="00372EC6">
            <w:pPr>
              <w:widowControl/>
              <w:kinsoku w:val="0"/>
              <w:topLinePunct/>
              <w:spacing w:line="360" w:lineRule="auto"/>
              <w:jc w:val="center"/>
              <w:textAlignment w:val="center"/>
              <w:rPr>
                <w:rFonts w:ascii="宋体" w:hAnsi="宋体"/>
                <w:szCs w:val="21"/>
              </w:rPr>
            </w:pPr>
            <w:r>
              <w:rPr>
                <w:rFonts w:ascii="宋体" w:hAnsi="宋体" w:hint="eastAsia"/>
                <w:szCs w:val="21"/>
              </w:rPr>
              <w:t>5</w:t>
            </w:r>
          </w:p>
        </w:tc>
        <w:tc>
          <w:tcPr>
            <w:tcW w:w="861" w:type="dxa"/>
            <w:tcBorders>
              <w:top w:val="single" w:sz="12" w:space="0" w:color="000000"/>
              <w:bottom w:val="single" w:sz="12" w:space="0" w:color="000000"/>
            </w:tcBorders>
            <w:vAlign w:val="center"/>
          </w:tcPr>
          <w:p w:rsidR="00C65152" w:rsidRDefault="00372EC6">
            <w:pPr>
              <w:widowControl/>
              <w:kinsoku w:val="0"/>
              <w:topLinePunct/>
              <w:spacing w:line="360" w:lineRule="auto"/>
              <w:jc w:val="center"/>
              <w:textAlignment w:val="center"/>
              <w:rPr>
                <w:rFonts w:ascii="宋体" w:hAnsi="宋体"/>
                <w:szCs w:val="21"/>
              </w:rPr>
            </w:pPr>
            <w:r>
              <w:rPr>
                <w:rFonts w:ascii="宋体" w:hAnsi="宋体" w:hint="eastAsia"/>
                <w:szCs w:val="21"/>
              </w:rPr>
              <w:t>6</w:t>
            </w:r>
          </w:p>
        </w:tc>
        <w:tc>
          <w:tcPr>
            <w:tcW w:w="861" w:type="dxa"/>
            <w:tcBorders>
              <w:top w:val="single" w:sz="12" w:space="0" w:color="000000"/>
              <w:bottom w:val="single" w:sz="12" w:space="0" w:color="000000"/>
            </w:tcBorders>
            <w:vAlign w:val="center"/>
          </w:tcPr>
          <w:p w:rsidR="00C65152" w:rsidRDefault="00372EC6">
            <w:pPr>
              <w:widowControl/>
              <w:kinsoku w:val="0"/>
              <w:topLinePunct/>
              <w:spacing w:line="360" w:lineRule="auto"/>
              <w:jc w:val="center"/>
              <w:textAlignment w:val="center"/>
              <w:rPr>
                <w:rFonts w:ascii="宋体" w:hAnsi="宋体"/>
                <w:szCs w:val="21"/>
              </w:rPr>
            </w:pPr>
            <w:r>
              <w:rPr>
                <w:rFonts w:ascii="宋体" w:hAnsi="宋体" w:hint="eastAsia"/>
                <w:szCs w:val="21"/>
              </w:rPr>
              <w:t>7</w:t>
            </w:r>
          </w:p>
        </w:tc>
        <w:tc>
          <w:tcPr>
            <w:tcW w:w="867" w:type="dxa"/>
            <w:tcBorders>
              <w:top w:val="single" w:sz="12" w:space="0" w:color="000000"/>
              <w:bottom w:val="single" w:sz="12" w:space="0" w:color="000000"/>
            </w:tcBorders>
            <w:vAlign w:val="center"/>
          </w:tcPr>
          <w:p w:rsidR="00C65152" w:rsidRDefault="00372EC6">
            <w:pPr>
              <w:widowControl/>
              <w:kinsoku w:val="0"/>
              <w:topLinePunct/>
              <w:spacing w:line="360" w:lineRule="auto"/>
              <w:jc w:val="center"/>
              <w:textAlignment w:val="center"/>
              <w:rPr>
                <w:rFonts w:ascii="宋体" w:hAnsi="宋体"/>
                <w:szCs w:val="21"/>
              </w:rPr>
            </w:pPr>
            <w:r>
              <w:rPr>
                <w:rFonts w:ascii="宋体" w:hAnsi="宋体" w:hint="eastAsia"/>
                <w:szCs w:val="21"/>
              </w:rPr>
              <w:t>平均值</w:t>
            </w:r>
          </w:p>
        </w:tc>
        <w:tc>
          <w:tcPr>
            <w:tcW w:w="739" w:type="dxa"/>
            <w:tcBorders>
              <w:top w:val="single" w:sz="12" w:space="0" w:color="000000"/>
              <w:bottom w:val="single" w:sz="12" w:space="0" w:color="000000"/>
              <w:right w:val="single" w:sz="12" w:space="0" w:color="000000"/>
            </w:tcBorders>
            <w:vAlign w:val="center"/>
          </w:tcPr>
          <w:p w:rsidR="00C65152" w:rsidRDefault="00372EC6">
            <w:pPr>
              <w:widowControl/>
              <w:kinsoku w:val="0"/>
              <w:topLinePunct/>
              <w:spacing w:line="360" w:lineRule="auto"/>
              <w:jc w:val="center"/>
              <w:textAlignment w:val="center"/>
              <w:rPr>
                <w:rFonts w:ascii="宋体" w:hAnsi="宋体"/>
                <w:szCs w:val="21"/>
              </w:rPr>
            </w:pPr>
            <w:r>
              <w:rPr>
                <w:rFonts w:ascii="宋体" w:hAnsi="宋体" w:hint="eastAsia"/>
                <w:szCs w:val="21"/>
              </w:rPr>
              <w:t>RSD%</w:t>
            </w:r>
          </w:p>
        </w:tc>
      </w:tr>
      <w:tr w:rsidR="00C65152">
        <w:trPr>
          <w:jc w:val="center"/>
        </w:trPr>
        <w:tc>
          <w:tcPr>
            <w:tcW w:w="654" w:type="dxa"/>
            <w:vMerge w:val="restart"/>
            <w:tcBorders>
              <w:left w:val="single" w:sz="12" w:space="0" w:color="000000"/>
            </w:tcBorders>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加标0.0252mg/L</w:t>
            </w:r>
          </w:p>
        </w:tc>
        <w:tc>
          <w:tcPr>
            <w:tcW w:w="759"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浓度μg/L</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327.59</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402.25</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329.27</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411.86</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330.90</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331.17</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331.97</w:t>
            </w:r>
          </w:p>
        </w:tc>
        <w:tc>
          <w:tcPr>
            <w:tcW w:w="867"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352.14</w:t>
            </w:r>
          </w:p>
        </w:tc>
        <w:tc>
          <w:tcPr>
            <w:tcW w:w="739" w:type="dxa"/>
            <w:vMerge w:val="restart"/>
            <w:tcBorders>
              <w:right w:val="single" w:sz="12" w:space="0" w:color="000000"/>
            </w:tcBorders>
            <w:vAlign w:val="center"/>
          </w:tcPr>
          <w:p w:rsidR="00C65152" w:rsidRDefault="00372EC6">
            <w:pPr>
              <w:widowControl/>
              <w:kinsoku w:val="0"/>
              <w:topLinePunct/>
              <w:spacing w:line="360" w:lineRule="auto"/>
              <w:jc w:val="center"/>
              <w:textAlignment w:val="center"/>
              <w:rPr>
                <w:rFonts w:ascii="等线" w:eastAsia="等线" w:hAnsi="等线"/>
                <w:color w:val="000000"/>
                <w:szCs w:val="21"/>
              </w:rPr>
            </w:pPr>
            <w:r>
              <w:rPr>
                <w:rFonts w:ascii="等线" w:eastAsia="等线" w:hAnsi="等线" w:hint="eastAsia"/>
                <w:color w:val="000000"/>
                <w:szCs w:val="21"/>
              </w:rPr>
              <w:t>10.7</w:t>
            </w:r>
          </w:p>
        </w:tc>
      </w:tr>
      <w:tr w:rsidR="00C65152">
        <w:trPr>
          <w:jc w:val="center"/>
        </w:trPr>
        <w:tc>
          <w:tcPr>
            <w:tcW w:w="654" w:type="dxa"/>
            <w:vMerge/>
            <w:tcBorders>
              <w:left w:val="single" w:sz="12" w:space="0" w:color="000000"/>
            </w:tcBorders>
            <w:vAlign w:val="center"/>
          </w:tcPr>
          <w:p w:rsidR="00C65152" w:rsidRDefault="00C65152">
            <w:pPr>
              <w:widowControl/>
              <w:kinsoku w:val="0"/>
              <w:topLinePunct/>
              <w:jc w:val="center"/>
              <w:textAlignment w:val="center"/>
              <w:rPr>
                <w:rFonts w:ascii="宋体" w:hAnsi="宋体"/>
                <w:szCs w:val="21"/>
              </w:rPr>
            </w:pPr>
          </w:p>
        </w:tc>
        <w:tc>
          <w:tcPr>
            <w:tcW w:w="759"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回收率%</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97.5</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119.7</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98.0</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122.6</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98.5</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98.6</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98.8</w:t>
            </w:r>
          </w:p>
        </w:tc>
        <w:tc>
          <w:tcPr>
            <w:tcW w:w="867"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104.8</w:t>
            </w:r>
          </w:p>
        </w:tc>
        <w:tc>
          <w:tcPr>
            <w:tcW w:w="739" w:type="dxa"/>
            <w:vMerge/>
            <w:tcBorders>
              <w:right w:val="single" w:sz="12" w:space="0" w:color="000000"/>
            </w:tcBorders>
            <w:vAlign w:val="center"/>
          </w:tcPr>
          <w:p w:rsidR="00C65152" w:rsidRDefault="00C65152">
            <w:pPr>
              <w:widowControl/>
              <w:kinsoku w:val="0"/>
              <w:topLinePunct/>
              <w:spacing w:line="360" w:lineRule="auto"/>
              <w:jc w:val="center"/>
              <w:textAlignment w:val="center"/>
              <w:rPr>
                <w:rFonts w:ascii="等线" w:eastAsia="等线" w:hAnsi="等线"/>
                <w:color w:val="000000"/>
                <w:szCs w:val="21"/>
              </w:rPr>
            </w:pPr>
          </w:p>
        </w:tc>
      </w:tr>
      <w:tr w:rsidR="00C65152">
        <w:trPr>
          <w:jc w:val="center"/>
        </w:trPr>
        <w:tc>
          <w:tcPr>
            <w:tcW w:w="654" w:type="dxa"/>
            <w:vMerge w:val="restart"/>
            <w:tcBorders>
              <w:left w:val="single" w:sz="12" w:space="0" w:color="000000"/>
            </w:tcBorders>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加标0.063mg/L</w:t>
            </w:r>
          </w:p>
        </w:tc>
        <w:tc>
          <w:tcPr>
            <w:tcW w:w="759"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浓度μg/L</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780.99</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642.67</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666.18</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666.05</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681.35</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683.20</w:t>
            </w:r>
          </w:p>
        </w:tc>
        <w:tc>
          <w:tcPr>
            <w:tcW w:w="861"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678.62</w:t>
            </w:r>
          </w:p>
        </w:tc>
        <w:tc>
          <w:tcPr>
            <w:tcW w:w="867" w:type="dxa"/>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780.99</w:t>
            </w:r>
          </w:p>
        </w:tc>
        <w:tc>
          <w:tcPr>
            <w:tcW w:w="739" w:type="dxa"/>
            <w:vMerge w:val="restart"/>
            <w:tcBorders>
              <w:right w:val="single" w:sz="12" w:space="0" w:color="000000"/>
            </w:tcBorders>
            <w:vAlign w:val="center"/>
          </w:tcPr>
          <w:p w:rsidR="00C65152" w:rsidRDefault="00372EC6">
            <w:pPr>
              <w:widowControl/>
              <w:kinsoku w:val="0"/>
              <w:topLinePunct/>
              <w:spacing w:line="360" w:lineRule="auto"/>
              <w:jc w:val="center"/>
              <w:textAlignment w:val="center"/>
              <w:rPr>
                <w:rFonts w:ascii="等线" w:eastAsia="等线" w:hAnsi="等线"/>
                <w:color w:val="000000"/>
                <w:szCs w:val="21"/>
              </w:rPr>
            </w:pPr>
            <w:r>
              <w:rPr>
                <w:rFonts w:ascii="等线" w:eastAsia="等线" w:hAnsi="等线" w:hint="eastAsia"/>
                <w:color w:val="000000"/>
                <w:szCs w:val="21"/>
              </w:rPr>
              <w:t>6.5</w:t>
            </w:r>
          </w:p>
        </w:tc>
      </w:tr>
      <w:tr w:rsidR="00C65152">
        <w:trPr>
          <w:jc w:val="center"/>
        </w:trPr>
        <w:tc>
          <w:tcPr>
            <w:tcW w:w="654" w:type="dxa"/>
            <w:vMerge/>
            <w:tcBorders>
              <w:left w:val="single" w:sz="12" w:space="0" w:color="000000"/>
              <w:bottom w:val="single" w:sz="12" w:space="0" w:color="auto"/>
            </w:tcBorders>
            <w:vAlign w:val="center"/>
          </w:tcPr>
          <w:p w:rsidR="00C65152" w:rsidRDefault="00C65152">
            <w:pPr>
              <w:widowControl/>
              <w:kinsoku w:val="0"/>
              <w:topLinePunct/>
              <w:jc w:val="center"/>
              <w:textAlignment w:val="center"/>
              <w:rPr>
                <w:rFonts w:ascii="宋体" w:hAnsi="宋体"/>
                <w:szCs w:val="21"/>
              </w:rPr>
            </w:pPr>
          </w:p>
        </w:tc>
        <w:tc>
          <w:tcPr>
            <w:tcW w:w="759" w:type="dxa"/>
            <w:tcBorders>
              <w:bottom w:val="single" w:sz="12" w:space="0" w:color="auto"/>
            </w:tcBorders>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回收率%</w:t>
            </w:r>
          </w:p>
        </w:tc>
        <w:tc>
          <w:tcPr>
            <w:tcW w:w="861" w:type="dxa"/>
            <w:tcBorders>
              <w:bottom w:val="single" w:sz="12" w:space="0" w:color="auto"/>
            </w:tcBorders>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93.0</w:t>
            </w:r>
          </w:p>
        </w:tc>
        <w:tc>
          <w:tcPr>
            <w:tcW w:w="861" w:type="dxa"/>
            <w:tcBorders>
              <w:bottom w:val="single" w:sz="12" w:space="0" w:color="auto"/>
            </w:tcBorders>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76.5</w:t>
            </w:r>
          </w:p>
        </w:tc>
        <w:tc>
          <w:tcPr>
            <w:tcW w:w="861" w:type="dxa"/>
            <w:tcBorders>
              <w:bottom w:val="single" w:sz="12" w:space="0" w:color="auto"/>
            </w:tcBorders>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79.3</w:t>
            </w:r>
          </w:p>
        </w:tc>
        <w:tc>
          <w:tcPr>
            <w:tcW w:w="861" w:type="dxa"/>
            <w:tcBorders>
              <w:bottom w:val="single" w:sz="12" w:space="0" w:color="auto"/>
            </w:tcBorders>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79.3</w:t>
            </w:r>
          </w:p>
        </w:tc>
        <w:tc>
          <w:tcPr>
            <w:tcW w:w="861" w:type="dxa"/>
            <w:tcBorders>
              <w:bottom w:val="single" w:sz="12" w:space="0" w:color="auto"/>
            </w:tcBorders>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81.1</w:t>
            </w:r>
          </w:p>
        </w:tc>
        <w:tc>
          <w:tcPr>
            <w:tcW w:w="861" w:type="dxa"/>
            <w:tcBorders>
              <w:bottom w:val="single" w:sz="12" w:space="0" w:color="auto"/>
            </w:tcBorders>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81.3</w:t>
            </w:r>
          </w:p>
        </w:tc>
        <w:tc>
          <w:tcPr>
            <w:tcW w:w="861" w:type="dxa"/>
            <w:tcBorders>
              <w:bottom w:val="single" w:sz="12" w:space="0" w:color="auto"/>
            </w:tcBorders>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80.8</w:t>
            </w:r>
          </w:p>
        </w:tc>
        <w:tc>
          <w:tcPr>
            <w:tcW w:w="867" w:type="dxa"/>
            <w:tcBorders>
              <w:bottom w:val="single" w:sz="12" w:space="0" w:color="auto"/>
            </w:tcBorders>
            <w:vAlign w:val="center"/>
          </w:tcPr>
          <w:p w:rsidR="00C65152" w:rsidRDefault="00372EC6">
            <w:pPr>
              <w:widowControl/>
              <w:kinsoku w:val="0"/>
              <w:topLinePunct/>
              <w:jc w:val="center"/>
              <w:textAlignment w:val="center"/>
              <w:rPr>
                <w:rFonts w:ascii="宋体" w:hAnsi="宋体"/>
                <w:szCs w:val="21"/>
              </w:rPr>
            </w:pPr>
            <w:r>
              <w:rPr>
                <w:rFonts w:ascii="宋体" w:hAnsi="宋体" w:hint="eastAsia"/>
                <w:szCs w:val="21"/>
              </w:rPr>
              <w:t>93.0</w:t>
            </w:r>
          </w:p>
        </w:tc>
        <w:tc>
          <w:tcPr>
            <w:tcW w:w="739" w:type="dxa"/>
            <w:vMerge/>
            <w:tcBorders>
              <w:bottom w:val="single" w:sz="12" w:space="0" w:color="auto"/>
              <w:right w:val="single" w:sz="12" w:space="0" w:color="000000"/>
            </w:tcBorders>
            <w:vAlign w:val="center"/>
          </w:tcPr>
          <w:p w:rsidR="00C65152" w:rsidRDefault="00C65152">
            <w:pPr>
              <w:widowControl/>
              <w:kinsoku w:val="0"/>
              <w:topLinePunct/>
              <w:spacing w:line="360" w:lineRule="auto"/>
              <w:jc w:val="center"/>
              <w:textAlignment w:val="center"/>
              <w:rPr>
                <w:rFonts w:ascii="等线" w:eastAsia="等线" w:hAnsi="等线"/>
                <w:color w:val="000000"/>
                <w:szCs w:val="21"/>
              </w:rPr>
            </w:pPr>
          </w:p>
        </w:tc>
      </w:tr>
    </w:tbl>
    <w:p w:rsidR="00C65152" w:rsidRDefault="00372EC6">
      <w:pPr>
        <w:spacing w:before="240" w:line="360" w:lineRule="auto"/>
        <w:ind w:firstLineChars="200" w:firstLine="560"/>
        <w:rPr>
          <w:sz w:val="28"/>
          <w:szCs w:val="28"/>
        </w:rPr>
      </w:pPr>
      <w:r>
        <w:rPr>
          <w:rFonts w:hint="eastAsia"/>
          <w:sz w:val="28"/>
          <w:szCs w:val="28"/>
        </w:rPr>
        <w:t xml:space="preserve">3.4 </w:t>
      </w:r>
      <w:r>
        <w:rPr>
          <w:rFonts w:hint="eastAsia"/>
          <w:sz w:val="28"/>
          <w:szCs w:val="28"/>
        </w:rPr>
        <w:t>样品检测</w:t>
      </w:r>
    </w:p>
    <w:p w:rsidR="00C65152" w:rsidRDefault="00372EC6">
      <w:pPr>
        <w:pStyle w:val="a8"/>
        <w:ind w:firstLineChars="200" w:firstLine="560"/>
        <w:rPr>
          <w:sz w:val="28"/>
          <w:szCs w:val="28"/>
        </w:rPr>
      </w:pPr>
      <w:r>
        <w:rPr>
          <w:rFonts w:hint="eastAsia"/>
          <w:sz w:val="28"/>
          <w:szCs w:val="28"/>
        </w:rPr>
        <w:t>标准起草组在市场上随机选取</w:t>
      </w:r>
      <w:r>
        <w:rPr>
          <w:rFonts w:hint="eastAsia"/>
          <w:sz w:val="28"/>
          <w:szCs w:val="28"/>
        </w:rPr>
        <w:t>10</w:t>
      </w:r>
      <w:r>
        <w:rPr>
          <w:rFonts w:hint="eastAsia"/>
          <w:sz w:val="28"/>
          <w:szCs w:val="28"/>
        </w:rPr>
        <w:t>个具有代表性的果蔬洗涤盐产品进行去除率的检测。数据见表</w:t>
      </w:r>
      <w:r>
        <w:rPr>
          <w:rFonts w:hint="eastAsia"/>
          <w:sz w:val="28"/>
          <w:szCs w:val="28"/>
        </w:rPr>
        <w:t>10</w:t>
      </w:r>
      <w:r>
        <w:rPr>
          <w:rFonts w:hint="eastAsia"/>
          <w:sz w:val="28"/>
          <w:szCs w:val="28"/>
        </w:rPr>
        <w:t>。</w:t>
      </w:r>
      <w:r>
        <w:rPr>
          <w:rFonts w:ascii="宋体" w:hAnsi="宋体" w:hint="eastAsia"/>
          <w:sz w:val="28"/>
          <w:szCs w:val="28"/>
        </w:rPr>
        <w:t>有2个</w:t>
      </w:r>
      <w:r>
        <w:rPr>
          <w:rFonts w:hint="eastAsia"/>
          <w:sz w:val="28"/>
          <w:szCs w:val="28"/>
        </w:rPr>
        <w:t>去除率</w:t>
      </w:r>
      <w:r>
        <w:rPr>
          <w:rFonts w:ascii="宋体" w:hAnsi="宋体" w:hint="eastAsia"/>
          <w:sz w:val="28"/>
          <w:szCs w:val="28"/>
        </w:rPr>
        <w:t>小于20%</w:t>
      </w:r>
      <w:r>
        <w:rPr>
          <w:rFonts w:hint="eastAsia"/>
          <w:sz w:val="28"/>
          <w:szCs w:val="28"/>
        </w:rPr>
        <w:t>，占比</w:t>
      </w:r>
      <w:r>
        <w:rPr>
          <w:rFonts w:ascii="宋体" w:hAnsi="宋体" w:hint="eastAsia"/>
          <w:sz w:val="28"/>
          <w:szCs w:val="28"/>
        </w:rPr>
        <w:t>20%，因此起草组设置</w:t>
      </w:r>
      <w:r>
        <w:rPr>
          <w:rFonts w:hint="eastAsia"/>
          <w:sz w:val="28"/>
          <w:szCs w:val="28"/>
        </w:rPr>
        <w:t>去除率</w:t>
      </w:r>
      <w:r>
        <w:rPr>
          <w:rFonts w:ascii="宋体" w:hAnsi="宋体" w:hint="eastAsia"/>
          <w:sz w:val="28"/>
          <w:szCs w:val="28"/>
        </w:rPr>
        <w:t>指标为≥20%，控制果蔬洗涤盐产品性能。</w:t>
      </w:r>
    </w:p>
    <w:p w:rsidR="00C65152" w:rsidRDefault="00372EC6">
      <w:pPr>
        <w:pStyle w:val="a8"/>
        <w:ind w:firstLineChars="200" w:firstLine="560"/>
        <w:jc w:val="center"/>
        <w:rPr>
          <w:sz w:val="28"/>
          <w:szCs w:val="28"/>
        </w:rPr>
      </w:pPr>
      <w:r>
        <w:rPr>
          <w:rFonts w:hint="eastAsia"/>
          <w:sz w:val="28"/>
          <w:szCs w:val="28"/>
        </w:rPr>
        <w:t>表</w:t>
      </w:r>
      <w:r>
        <w:rPr>
          <w:rFonts w:hint="eastAsia"/>
          <w:sz w:val="28"/>
          <w:szCs w:val="28"/>
        </w:rPr>
        <w:t xml:space="preserve">10 </w:t>
      </w:r>
      <w:r>
        <w:rPr>
          <w:rFonts w:hint="eastAsia"/>
          <w:sz w:val="28"/>
          <w:szCs w:val="28"/>
        </w:rPr>
        <w:t>果蔬洗涤盐产品去除率检测结果</w:t>
      </w:r>
    </w:p>
    <w:tbl>
      <w:tblPr>
        <w:tblStyle w:val="a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3807"/>
        <w:gridCol w:w="2841"/>
      </w:tblGrid>
      <w:tr w:rsidR="00C65152">
        <w:tc>
          <w:tcPr>
            <w:tcW w:w="1874"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果蔬洗涤盐样品</w:t>
            </w:r>
          </w:p>
        </w:tc>
        <w:tc>
          <w:tcPr>
            <w:tcW w:w="3807"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洗涤后腐霉利含量（μg/L）</w:t>
            </w:r>
          </w:p>
        </w:tc>
        <w:tc>
          <w:tcPr>
            <w:tcW w:w="2841"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果蔬洗涤盐去除率（%）</w:t>
            </w:r>
          </w:p>
        </w:tc>
      </w:tr>
      <w:tr w:rsidR="00C65152">
        <w:tc>
          <w:tcPr>
            <w:tcW w:w="1874"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w:t>
            </w:r>
          </w:p>
        </w:tc>
        <w:tc>
          <w:tcPr>
            <w:tcW w:w="3807"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165584.8757</w:t>
            </w:r>
          </w:p>
        </w:tc>
        <w:tc>
          <w:tcPr>
            <w:tcW w:w="2841"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21.7</w:t>
            </w:r>
          </w:p>
        </w:tc>
      </w:tr>
      <w:tr w:rsidR="00C65152">
        <w:tc>
          <w:tcPr>
            <w:tcW w:w="1874"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2</w:t>
            </w:r>
          </w:p>
        </w:tc>
        <w:tc>
          <w:tcPr>
            <w:tcW w:w="3807"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172273.6485</w:t>
            </w:r>
          </w:p>
        </w:tc>
        <w:tc>
          <w:tcPr>
            <w:tcW w:w="2841"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18.6</w:t>
            </w:r>
          </w:p>
        </w:tc>
      </w:tr>
      <w:tr w:rsidR="00C65152">
        <w:tc>
          <w:tcPr>
            <w:tcW w:w="1874"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3</w:t>
            </w:r>
          </w:p>
        </w:tc>
        <w:tc>
          <w:tcPr>
            <w:tcW w:w="3807"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146400.9461</w:t>
            </w:r>
          </w:p>
        </w:tc>
        <w:tc>
          <w:tcPr>
            <w:tcW w:w="2841"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30.8</w:t>
            </w:r>
          </w:p>
        </w:tc>
      </w:tr>
      <w:tr w:rsidR="00C65152">
        <w:tc>
          <w:tcPr>
            <w:tcW w:w="1874"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lastRenderedPageBreak/>
              <w:t>4</w:t>
            </w:r>
          </w:p>
        </w:tc>
        <w:tc>
          <w:tcPr>
            <w:tcW w:w="3807"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173114.2508</w:t>
            </w:r>
          </w:p>
        </w:tc>
        <w:tc>
          <w:tcPr>
            <w:tcW w:w="2841"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18.2</w:t>
            </w:r>
          </w:p>
        </w:tc>
      </w:tr>
      <w:tr w:rsidR="00C65152">
        <w:tc>
          <w:tcPr>
            <w:tcW w:w="1874"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5</w:t>
            </w:r>
          </w:p>
        </w:tc>
        <w:tc>
          <w:tcPr>
            <w:tcW w:w="3807"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145846.5887</w:t>
            </w:r>
          </w:p>
        </w:tc>
        <w:tc>
          <w:tcPr>
            <w:tcW w:w="2841"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31.1</w:t>
            </w:r>
          </w:p>
        </w:tc>
      </w:tr>
      <w:tr w:rsidR="00C65152">
        <w:tc>
          <w:tcPr>
            <w:tcW w:w="1874"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6</w:t>
            </w:r>
          </w:p>
        </w:tc>
        <w:tc>
          <w:tcPr>
            <w:tcW w:w="3807"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158251.5073</w:t>
            </w:r>
          </w:p>
        </w:tc>
        <w:tc>
          <w:tcPr>
            <w:tcW w:w="2841"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25.2</w:t>
            </w:r>
          </w:p>
        </w:tc>
      </w:tr>
      <w:tr w:rsidR="00C65152">
        <w:tc>
          <w:tcPr>
            <w:tcW w:w="1874"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7</w:t>
            </w:r>
          </w:p>
        </w:tc>
        <w:tc>
          <w:tcPr>
            <w:tcW w:w="3807"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162407.8699</w:t>
            </w:r>
          </w:p>
        </w:tc>
        <w:tc>
          <w:tcPr>
            <w:tcW w:w="2841"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23.2</w:t>
            </w:r>
          </w:p>
        </w:tc>
      </w:tr>
      <w:tr w:rsidR="00C65152">
        <w:tc>
          <w:tcPr>
            <w:tcW w:w="1874"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8</w:t>
            </w:r>
          </w:p>
        </w:tc>
        <w:tc>
          <w:tcPr>
            <w:tcW w:w="3807"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144837.4737</w:t>
            </w:r>
          </w:p>
        </w:tc>
        <w:tc>
          <w:tcPr>
            <w:tcW w:w="2841"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31.6</w:t>
            </w:r>
          </w:p>
        </w:tc>
      </w:tr>
      <w:tr w:rsidR="00C65152">
        <w:tc>
          <w:tcPr>
            <w:tcW w:w="1874"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9</w:t>
            </w:r>
          </w:p>
        </w:tc>
        <w:tc>
          <w:tcPr>
            <w:tcW w:w="3807"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146248.717</w:t>
            </w:r>
          </w:p>
        </w:tc>
        <w:tc>
          <w:tcPr>
            <w:tcW w:w="2841"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30.9</w:t>
            </w:r>
          </w:p>
        </w:tc>
      </w:tr>
      <w:tr w:rsidR="00C65152">
        <w:tc>
          <w:tcPr>
            <w:tcW w:w="1874" w:type="dxa"/>
            <w:vAlign w:val="center"/>
          </w:tcPr>
          <w:p w:rsidR="00C65152" w:rsidRDefault="00372EC6">
            <w:pPr>
              <w:widowControl/>
              <w:jc w:val="center"/>
              <w:textAlignment w:val="bottom"/>
              <w:rPr>
                <w:rFonts w:ascii="宋体" w:hAnsi="宋体" w:cs="宋体"/>
                <w:color w:val="000000"/>
                <w:kern w:val="0"/>
                <w:sz w:val="22"/>
                <w:lang w:bidi="ar"/>
              </w:rPr>
            </w:pPr>
            <w:r>
              <w:rPr>
                <w:rFonts w:ascii="宋体" w:hAnsi="宋体" w:cs="宋体" w:hint="eastAsia"/>
                <w:color w:val="000000"/>
                <w:kern w:val="0"/>
                <w:sz w:val="22"/>
                <w:lang w:bidi="ar"/>
              </w:rPr>
              <w:t>10</w:t>
            </w:r>
          </w:p>
        </w:tc>
        <w:tc>
          <w:tcPr>
            <w:tcW w:w="3807" w:type="dxa"/>
            <w:vAlign w:val="center"/>
          </w:tcPr>
          <w:p w:rsidR="00C65152" w:rsidRDefault="00372EC6">
            <w:pPr>
              <w:widowControl/>
              <w:jc w:val="center"/>
              <w:textAlignment w:val="bottom"/>
              <w:rPr>
                <w:rFonts w:ascii="宋体" w:hAnsi="宋体" w:cs="宋体"/>
                <w:color w:val="000000"/>
                <w:kern w:val="0"/>
                <w:sz w:val="22"/>
                <w:lang w:bidi="ar"/>
              </w:rPr>
            </w:pPr>
            <w:r>
              <w:rPr>
                <w:rFonts w:ascii="宋体" w:hAnsi="宋体" w:cs="宋体" w:hint="eastAsia"/>
                <w:color w:val="000000"/>
                <w:kern w:val="0"/>
                <w:sz w:val="22"/>
                <w:lang w:bidi="ar"/>
              </w:rPr>
              <w:t>103468.0158</w:t>
            </w:r>
          </w:p>
        </w:tc>
        <w:tc>
          <w:tcPr>
            <w:tcW w:w="2841" w:type="dxa"/>
            <w:vAlign w:val="center"/>
          </w:tcPr>
          <w:p w:rsidR="00C65152" w:rsidRDefault="00372EC6">
            <w:pPr>
              <w:widowControl/>
              <w:jc w:val="center"/>
              <w:textAlignment w:val="bottom"/>
              <w:rPr>
                <w:rFonts w:ascii="宋体" w:hAnsi="宋体" w:cs="宋体"/>
                <w:sz w:val="22"/>
              </w:rPr>
            </w:pPr>
            <w:r>
              <w:rPr>
                <w:rFonts w:ascii="宋体" w:hAnsi="宋体" w:cs="宋体" w:hint="eastAsia"/>
                <w:color w:val="000000"/>
                <w:kern w:val="0"/>
                <w:sz w:val="22"/>
                <w:lang w:bidi="ar"/>
              </w:rPr>
              <w:t>51.1</w:t>
            </w:r>
          </w:p>
        </w:tc>
      </w:tr>
      <w:tr w:rsidR="00C65152">
        <w:tc>
          <w:tcPr>
            <w:tcW w:w="8522" w:type="dxa"/>
            <w:gridSpan w:val="3"/>
            <w:vAlign w:val="center"/>
          </w:tcPr>
          <w:p w:rsidR="00C65152" w:rsidRDefault="00372EC6">
            <w:pPr>
              <w:pStyle w:val="a8"/>
              <w:tabs>
                <w:tab w:val="left" w:pos="3354"/>
              </w:tabs>
              <w:spacing w:after="0"/>
              <w:jc w:val="center"/>
              <w:rPr>
                <w:rFonts w:ascii="宋体" w:hAnsi="宋体" w:cs="宋体"/>
                <w:sz w:val="22"/>
              </w:rPr>
            </w:pPr>
            <w:r>
              <w:rPr>
                <w:rFonts w:ascii="宋体" w:hAnsi="宋体" w:cs="宋体" w:hint="eastAsia"/>
                <w:sz w:val="22"/>
              </w:rPr>
              <w:t>不洗的番茄中腐霉利含量211604.8566</w:t>
            </w:r>
            <w:r>
              <w:rPr>
                <w:rFonts w:ascii="宋体" w:hAnsi="宋体" w:cs="宋体" w:hint="eastAsia"/>
                <w:color w:val="000000"/>
                <w:kern w:val="0"/>
                <w:sz w:val="22"/>
                <w:lang w:bidi="ar"/>
              </w:rPr>
              <w:t>μg/L</w:t>
            </w:r>
          </w:p>
        </w:tc>
      </w:tr>
    </w:tbl>
    <w:p w:rsidR="00C65152" w:rsidRDefault="00372EC6">
      <w:pPr>
        <w:spacing w:before="240" w:line="360" w:lineRule="auto"/>
        <w:rPr>
          <w:rFonts w:ascii="宋体"/>
          <w:b/>
          <w:kern w:val="0"/>
          <w:sz w:val="28"/>
          <w:szCs w:val="28"/>
        </w:rPr>
      </w:pPr>
      <w:r>
        <w:rPr>
          <w:rFonts w:ascii="宋体" w:hAnsi="宋体" w:hint="eastAsia"/>
          <w:b/>
          <w:kern w:val="0"/>
          <w:sz w:val="28"/>
          <w:szCs w:val="28"/>
        </w:rPr>
        <w:t>四、标准中涉及专利情况</w:t>
      </w:r>
    </w:p>
    <w:p w:rsidR="00C65152" w:rsidRDefault="00372EC6">
      <w:pPr>
        <w:spacing w:before="240" w:line="360" w:lineRule="auto"/>
        <w:ind w:firstLineChars="196" w:firstLine="549"/>
        <w:rPr>
          <w:rFonts w:ascii="宋体"/>
          <w:b/>
          <w:kern w:val="0"/>
          <w:sz w:val="28"/>
          <w:szCs w:val="28"/>
        </w:rPr>
      </w:pPr>
      <w:r>
        <w:rPr>
          <w:rFonts w:ascii="宋体" w:hAnsi="宋体" w:hint="eastAsia"/>
          <w:sz w:val="28"/>
          <w:szCs w:val="28"/>
        </w:rPr>
        <w:t>本标准中不涉及专利问题。</w:t>
      </w:r>
    </w:p>
    <w:p w:rsidR="00C65152" w:rsidRDefault="00372EC6">
      <w:pPr>
        <w:spacing w:before="240" w:line="360" w:lineRule="auto"/>
        <w:rPr>
          <w:rFonts w:ascii="宋体"/>
          <w:b/>
          <w:color w:val="FF0000"/>
          <w:kern w:val="0"/>
          <w:sz w:val="28"/>
          <w:szCs w:val="28"/>
        </w:rPr>
      </w:pPr>
      <w:r>
        <w:rPr>
          <w:rFonts w:ascii="宋体" w:hAnsi="宋体" w:hint="eastAsia"/>
          <w:b/>
          <w:kern w:val="0"/>
          <w:sz w:val="28"/>
          <w:szCs w:val="28"/>
        </w:rPr>
        <w:t>五、预期达到的社会效益、对产业发展的作用等情况</w:t>
      </w:r>
    </w:p>
    <w:p w:rsidR="00C65152" w:rsidRDefault="00372EC6">
      <w:pPr>
        <w:spacing w:before="240" w:line="360" w:lineRule="auto"/>
        <w:ind w:firstLineChars="196" w:firstLine="549"/>
        <w:rPr>
          <w:rFonts w:ascii="宋体" w:hAnsi="宋体"/>
          <w:sz w:val="28"/>
          <w:szCs w:val="28"/>
        </w:rPr>
      </w:pPr>
      <w:r>
        <w:rPr>
          <w:rFonts w:ascii="宋体" w:hAnsi="宋体" w:hint="eastAsia"/>
          <w:sz w:val="28"/>
          <w:szCs w:val="28"/>
        </w:rPr>
        <w:t xml:space="preserve">从社会效益层面，本标准统一了果蔬洗涤盐产品核心质量指标、性能指标及污染物限量要求，支撑监管部门常态化开展产品质量管控，遏制劣质产品流通，筑牢产品安全底线，全方位保护消费者身体健康，净化市场经营环境，维护公平公正的市场交易秩序，切实提升民生保障水平。 </w:t>
      </w:r>
    </w:p>
    <w:p w:rsidR="00C65152" w:rsidRDefault="00372EC6">
      <w:pPr>
        <w:spacing w:before="240" w:line="360" w:lineRule="auto"/>
        <w:ind w:firstLineChars="196" w:firstLine="549"/>
        <w:rPr>
          <w:rFonts w:ascii="宋体" w:hAnsi="宋体"/>
          <w:sz w:val="28"/>
          <w:szCs w:val="28"/>
        </w:rPr>
      </w:pPr>
      <w:r>
        <w:rPr>
          <w:rFonts w:ascii="宋体" w:hAnsi="宋体" w:hint="eastAsia"/>
          <w:sz w:val="28"/>
          <w:szCs w:val="28"/>
        </w:rPr>
        <w:t>在产业发展层面，标准为行业生产、流通全链条划定统一技术准则，规范企业生产经营行为，推动行业淘汰落后工艺、提升整体产品质量，健全产品质量监管技术支撑体系，规避同质化低价内卷，引导产业规范化、规模化发展，持续增强产业内生发展动力，促进行业健康有序提质增效。</w:t>
      </w:r>
    </w:p>
    <w:p w:rsidR="00C65152" w:rsidRDefault="00372EC6">
      <w:pPr>
        <w:spacing w:before="240" w:line="360" w:lineRule="auto"/>
        <w:rPr>
          <w:rFonts w:ascii="宋体"/>
          <w:b/>
          <w:kern w:val="0"/>
          <w:sz w:val="28"/>
          <w:szCs w:val="28"/>
        </w:rPr>
      </w:pPr>
      <w:r>
        <w:rPr>
          <w:rFonts w:ascii="宋体" w:hAnsi="宋体" w:hint="eastAsia"/>
          <w:b/>
          <w:kern w:val="0"/>
          <w:sz w:val="28"/>
          <w:szCs w:val="28"/>
        </w:rPr>
        <w:t>六、与国际、国外对比情况</w:t>
      </w:r>
    </w:p>
    <w:p w:rsidR="00C65152" w:rsidRDefault="00372EC6">
      <w:pPr>
        <w:spacing w:before="240" w:line="360" w:lineRule="auto"/>
        <w:ind w:firstLineChars="200" w:firstLine="560"/>
        <w:rPr>
          <w:sz w:val="28"/>
          <w:szCs w:val="28"/>
        </w:rPr>
      </w:pPr>
      <w:r>
        <w:rPr>
          <w:rFonts w:hint="eastAsia"/>
          <w:sz w:val="28"/>
          <w:szCs w:val="28"/>
        </w:rPr>
        <w:t>本标准制定过程中未查到同类国际、国外标准，没有采用国际标</w:t>
      </w:r>
      <w:r>
        <w:rPr>
          <w:rFonts w:hint="eastAsia"/>
          <w:sz w:val="28"/>
          <w:szCs w:val="28"/>
        </w:rPr>
        <w:lastRenderedPageBreak/>
        <w:t>准或国外先进标准。</w:t>
      </w:r>
    </w:p>
    <w:p w:rsidR="00C65152" w:rsidRDefault="00372EC6">
      <w:pPr>
        <w:spacing w:before="240" w:line="360" w:lineRule="auto"/>
        <w:ind w:firstLineChars="200" w:firstLine="560"/>
        <w:rPr>
          <w:sz w:val="28"/>
          <w:szCs w:val="28"/>
        </w:rPr>
      </w:pPr>
      <w:r>
        <w:rPr>
          <w:rFonts w:hint="eastAsia"/>
          <w:sz w:val="28"/>
          <w:szCs w:val="28"/>
        </w:rPr>
        <w:t>本标准水平为国内领先水平。</w:t>
      </w:r>
    </w:p>
    <w:p w:rsidR="00C65152" w:rsidRDefault="00372EC6">
      <w:pPr>
        <w:spacing w:before="240" w:line="360" w:lineRule="auto"/>
        <w:rPr>
          <w:rFonts w:ascii="宋体"/>
          <w:b/>
          <w:kern w:val="0"/>
          <w:sz w:val="28"/>
          <w:szCs w:val="28"/>
        </w:rPr>
      </w:pPr>
      <w:r>
        <w:rPr>
          <w:rFonts w:ascii="宋体" w:hAnsi="宋体" w:hint="eastAsia"/>
          <w:b/>
          <w:kern w:val="0"/>
          <w:sz w:val="28"/>
          <w:szCs w:val="28"/>
        </w:rPr>
        <w:t>七、在标准体系中的位置，与现行相关法律、法规、规章及相关标准，特别是强制性标准的协调性</w:t>
      </w:r>
    </w:p>
    <w:p w:rsidR="00C65152" w:rsidRDefault="00372EC6">
      <w:pPr>
        <w:spacing w:before="240" w:line="360" w:lineRule="auto"/>
        <w:ind w:firstLine="555"/>
        <w:rPr>
          <w:rFonts w:ascii="宋体"/>
          <w:kern w:val="0"/>
          <w:sz w:val="28"/>
          <w:szCs w:val="28"/>
        </w:rPr>
      </w:pPr>
      <w:r>
        <w:rPr>
          <w:rFonts w:ascii="宋体" w:hAnsi="宋体" w:hint="eastAsia"/>
          <w:kern w:val="0"/>
          <w:sz w:val="28"/>
          <w:szCs w:val="28"/>
        </w:rPr>
        <w:t>本专业领域的标准体系框架如下图：</w:t>
      </w:r>
    </w:p>
    <w:p w:rsidR="00C65152" w:rsidRDefault="00372EC6">
      <w:pPr>
        <w:spacing w:before="240" w:line="360" w:lineRule="auto"/>
        <w:ind w:firstLineChars="200" w:firstLine="480"/>
        <w:rPr>
          <w:rFonts w:ascii="宋体"/>
          <w:kern w:val="0"/>
          <w:sz w:val="28"/>
          <w:szCs w:val="28"/>
        </w:rPr>
      </w:pPr>
      <w:r>
        <w:rPr>
          <w:sz w:val="24"/>
        </w:rPr>
        <w:object w:dxaOrig="8220" w:dyaOrig="5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97pt" o:ole="">
            <v:imagedata r:id="rId15" o:title=""/>
          </v:shape>
          <o:OLEObject Type="Embed" ProgID="Visio.Drawing.11" ShapeID="_x0000_i1025" DrawAspect="Content" ObjectID="_1847447777" r:id="rId16"/>
        </w:object>
      </w:r>
      <w:r>
        <w:rPr>
          <w:sz w:val="24"/>
        </w:rPr>
        <w:t xml:space="preserve">    </w:t>
      </w:r>
      <w:r>
        <w:rPr>
          <w:rFonts w:ascii="宋体" w:hAnsi="宋体" w:hint="eastAsia"/>
          <w:kern w:val="0"/>
          <w:sz w:val="28"/>
          <w:szCs w:val="28"/>
        </w:rPr>
        <w:t>本标准属于盐业标准体系“04日化用盐”大类，“05洗涤用盐”中类，体系编号为：“152950004050000001CP”。</w:t>
      </w:r>
    </w:p>
    <w:p w:rsidR="00C65152" w:rsidRDefault="00372EC6">
      <w:pPr>
        <w:spacing w:before="240" w:line="360" w:lineRule="auto"/>
        <w:ind w:firstLine="555"/>
        <w:rPr>
          <w:sz w:val="28"/>
          <w:szCs w:val="28"/>
        </w:rPr>
      </w:pPr>
      <w:r>
        <w:rPr>
          <w:rFonts w:hint="eastAsia"/>
          <w:sz w:val="28"/>
          <w:szCs w:val="28"/>
        </w:rPr>
        <w:t>本标准与现行相关法律、法规、规章及相关标准协调一致。</w:t>
      </w:r>
    </w:p>
    <w:p w:rsidR="00C65152" w:rsidRDefault="00372EC6">
      <w:pPr>
        <w:spacing w:before="240" w:line="360" w:lineRule="auto"/>
        <w:rPr>
          <w:rFonts w:ascii="宋体"/>
          <w:b/>
          <w:kern w:val="0"/>
          <w:sz w:val="28"/>
          <w:szCs w:val="28"/>
        </w:rPr>
      </w:pPr>
      <w:r>
        <w:rPr>
          <w:rFonts w:ascii="宋体" w:hAnsi="宋体" w:hint="eastAsia"/>
          <w:b/>
          <w:kern w:val="0"/>
          <w:sz w:val="28"/>
          <w:szCs w:val="28"/>
        </w:rPr>
        <w:t>八、重大分歧意见的处理经过和依据</w:t>
      </w:r>
    </w:p>
    <w:p w:rsidR="00C65152" w:rsidRDefault="00372EC6">
      <w:pPr>
        <w:spacing w:before="240" w:line="360" w:lineRule="auto"/>
        <w:ind w:firstLineChars="200" w:firstLine="560"/>
        <w:rPr>
          <w:rFonts w:ascii="宋体"/>
          <w:b/>
          <w:kern w:val="0"/>
          <w:sz w:val="28"/>
          <w:szCs w:val="28"/>
        </w:rPr>
      </w:pPr>
      <w:r>
        <w:rPr>
          <w:rFonts w:hint="eastAsia"/>
          <w:kern w:val="0"/>
          <w:sz w:val="28"/>
          <w:szCs w:val="28"/>
        </w:rPr>
        <w:lastRenderedPageBreak/>
        <w:t>无。</w:t>
      </w:r>
    </w:p>
    <w:p w:rsidR="00C65152" w:rsidRDefault="00372EC6">
      <w:pPr>
        <w:spacing w:before="240" w:line="360" w:lineRule="auto"/>
        <w:rPr>
          <w:rFonts w:ascii="宋体"/>
          <w:b/>
          <w:kern w:val="0"/>
          <w:sz w:val="28"/>
          <w:szCs w:val="28"/>
        </w:rPr>
      </w:pPr>
      <w:r>
        <w:rPr>
          <w:rFonts w:ascii="宋体" w:hAnsi="宋体" w:hint="eastAsia"/>
          <w:b/>
          <w:kern w:val="0"/>
          <w:sz w:val="28"/>
          <w:szCs w:val="28"/>
        </w:rPr>
        <w:t>九、标准性质的建议说明</w:t>
      </w:r>
    </w:p>
    <w:p w:rsidR="00C65152" w:rsidRDefault="00372EC6">
      <w:pPr>
        <w:spacing w:before="240" w:line="360" w:lineRule="auto"/>
        <w:ind w:firstLineChars="200" w:firstLine="560"/>
        <w:rPr>
          <w:rFonts w:ascii="宋体"/>
          <w:b/>
          <w:kern w:val="0"/>
          <w:sz w:val="28"/>
          <w:szCs w:val="28"/>
        </w:rPr>
      </w:pPr>
      <w:r>
        <w:rPr>
          <w:rFonts w:ascii="宋体" w:hAnsi="宋体" w:hint="eastAsia"/>
          <w:kern w:val="0"/>
          <w:sz w:val="28"/>
          <w:szCs w:val="28"/>
        </w:rPr>
        <w:t>建议本标准的性质为推荐性行业标准。</w:t>
      </w:r>
    </w:p>
    <w:p w:rsidR="00C65152" w:rsidRDefault="00372EC6">
      <w:pPr>
        <w:spacing w:before="240" w:line="360" w:lineRule="auto"/>
        <w:rPr>
          <w:rFonts w:ascii="宋体"/>
          <w:b/>
          <w:kern w:val="0"/>
          <w:sz w:val="28"/>
          <w:szCs w:val="28"/>
        </w:rPr>
      </w:pPr>
      <w:r>
        <w:rPr>
          <w:rFonts w:ascii="宋体" w:hAnsi="宋体" w:hint="eastAsia"/>
          <w:b/>
          <w:kern w:val="0"/>
          <w:sz w:val="28"/>
          <w:szCs w:val="28"/>
        </w:rPr>
        <w:t>十、贯彻标准的要求和措施建议</w:t>
      </w:r>
    </w:p>
    <w:p w:rsidR="00C65152" w:rsidRDefault="00372EC6">
      <w:pPr>
        <w:spacing w:beforeLines="50" w:before="156" w:afterLines="50" w:after="156" w:line="500" w:lineRule="exact"/>
        <w:ind w:firstLine="570"/>
        <w:rPr>
          <w:rFonts w:asciiTheme="minorEastAsia" w:hAnsiTheme="minorEastAsia"/>
          <w:sz w:val="28"/>
          <w:szCs w:val="28"/>
        </w:rPr>
      </w:pPr>
      <w:r>
        <w:rPr>
          <w:rFonts w:asciiTheme="minorEastAsia" w:hAnsiTheme="minorEastAsia" w:hint="eastAsia"/>
          <w:sz w:val="28"/>
          <w:szCs w:val="28"/>
        </w:rPr>
        <w:t>本标准是产品标准，建议标准实施日期为标准发布后的6个月。标准发布后，应组织相关人员进行标准的宣贯培训。</w:t>
      </w:r>
    </w:p>
    <w:p w:rsidR="00C65152" w:rsidRDefault="00372EC6">
      <w:pPr>
        <w:spacing w:before="240" w:line="360" w:lineRule="auto"/>
        <w:rPr>
          <w:rFonts w:ascii="宋体"/>
          <w:b/>
          <w:kern w:val="0"/>
          <w:sz w:val="28"/>
          <w:szCs w:val="28"/>
        </w:rPr>
      </w:pPr>
      <w:r>
        <w:rPr>
          <w:rFonts w:ascii="宋体" w:hAnsi="宋体" w:hint="eastAsia"/>
          <w:b/>
          <w:kern w:val="0"/>
          <w:sz w:val="28"/>
          <w:szCs w:val="28"/>
        </w:rPr>
        <w:t>十一、废止现行相关标准的建议</w:t>
      </w:r>
    </w:p>
    <w:p w:rsidR="00C65152" w:rsidRDefault="00372EC6">
      <w:pPr>
        <w:spacing w:beforeLines="50" w:before="156" w:afterLines="50" w:after="156" w:line="500" w:lineRule="exact"/>
        <w:ind w:firstLineChars="200" w:firstLine="560"/>
        <w:rPr>
          <w:rFonts w:asciiTheme="minorEastAsia" w:eastAsiaTheme="minorEastAsia" w:hAnsiTheme="minorEastAsia"/>
          <w:sz w:val="28"/>
          <w:szCs w:val="28"/>
        </w:rPr>
      </w:pPr>
      <w:r>
        <w:rPr>
          <w:rFonts w:eastAsiaTheme="minorEastAsia" w:hint="eastAsia"/>
          <w:bCs/>
          <w:sz w:val="28"/>
          <w:szCs w:val="28"/>
        </w:rPr>
        <w:t>无</w:t>
      </w:r>
      <w:r>
        <w:rPr>
          <w:rFonts w:asciiTheme="minorEastAsia" w:eastAsiaTheme="minorEastAsia" w:hAnsiTheme="minorEastAsia" w:hint="eastAsia"/>
          <w:sz w:val="28"/>
          <w:szCs w:val="28"/>
        </w:rPr>
        <w:t>。</w:t>
      </w:r>
    </w:p>
    <w:p w:rsidR="00C65152" w:rsidRDefault="00372EC6">
      <w:pPr>
        <w:spacing w:before="240" w:line="360" w:lineRule="auto"/>
        <w:rPr>
          <w:rFonts w:ascii="宋体"/>
          <w:b/>
          <w:kern w:val="0"/>
          <w:sz w:val="28"/>
          <w:szCs w:val="28"/>
        </w:rPr>
      </w:pPr>
      <w:r>
        <w:rPr>
          <w:rFonts w:ascii="宋体" w:hAnsi="宋体" w:hint="eastAsia"/>
          <w:b/>
          <w:kern w:val="0"/>
          <w:sz w:val="28"/>
          <w:szCs w:val="28"/>
        </w:rPr>
        <w:t>十二、其他应予说明的事项</w:t>
      </w:r>
    </w:p>
    <w:p w:rsidR="00C65152" w:rsidRDefault="00372EC6">
      <w:pPr>
        <w:spacing w:before="240" w:line="360" w:lineRule="auto"/>
        <w:ind w:firstLine="570"/>
        <w:rPr>
          <w:rFonts w:ascii="宋体" w:hAnsi="宋体"/>
          <w:sz w:val="28"/>
          <w:szCs w:val="28"/>
        </w:rPr>
      </w:pPr>
      <w:r>
        <w:rPr>
          <w:rFonts w:ascii="宋体" w:hint="eastAsia"/>
          <w:kern w:val="0"/>
          <w:sz w:val="28"/>
          <w:szCs w:val="28"/>
        </w:rPr>
        <w:t>计划项目原起草单位为“</w:t>
      </w:r>
      <w:r>
        <w:rPr>
          <w:rFonts w:ascii="宋体" w:hAnsi="宋体" w:hint="eastAsia"/>
          <w:sz w:val="28"/>
          <w:szCs w:val="28"/>
        </w:rPr>
        <w:t>国家盐产品质量监督检验中心，中国盐业股份有限公司，中盐金坛盐化有限责任公司、福建省盐业集团有限责任公司，中盐工程技术研究院有限公司，广东省广盐集团股份有限公司</w:t>
      </w:r>
      <w:r>
        <w:rPr>
          <w:rFonts w:ascii="宋体" w:hint="eastAsia"/>
          <w:kern w:val="0"/>
          <w:sz w:val="28"/>
          <w:szCs w:val="28"/>
        </w:rPr>
        <w:t>”。在标准起草过程中，</w:t>
      </w:r>
      <w:r>
        <w:rPr>
          <w:rFonts w:ascii="宋体" w:hAnsi="宋体" w:hint="eastAsia"/>
          <w:sz w:val="28"/>
          <w:szCs w:val="28"/>
        </w:rPr>
        <w:t>国盐检测（天津）有限责任公司、云南省盐业有限公司、</w:t>
      </w:r>
      <w:r w:rsidR="007C2C0F" w:rsidRPr="00AB2351">
        <w:rPr>
          <w:rFonts w:ascii="宋体" w:hAnsi="宋体" w:hint="eastAsia"/>
          <w:sz w:val="28"/>
          <w:szCs w:val="28"/>
        </w:rPr>
        <w:t>青海省盐业股份有限公司、</w:t>
      </w:r>
      <w:r>
        <w:rPr>
          <w:rFonts w:ascii="宋体" w:hAnsi="宋体" w:hint="eastAsia"/>
          <w:sz w:val="28"/>
          <w:szCs w:val="28"/>
        </w:rPr>
        <w:t>浙江蓝海星盐制品有限公司、中盐金坛盐化有限责任公司、福建省盐业集团有限责任公司、</w:t>
      </w:r>
      <w:r w:rsidR="007C2C0F">
        <w:rPr>
          <w:rFonts w:ascii="宋体" w:hAnsi="宋体" w:hint="eastAsia"/>
          <w:sz w:val="28"/>
          <w:szCs w:val="28"/>
        </w:rPr>
        <w:t>中国盐业股份有限公司、</w:t>
      </w:r>
      <w:r>
        <w:rPr>
          <w:rFonts w:ascii="宋体" w:hAnsi="宋体" w:hint="eastAsia"/>
          <w:sz w:val="28"/>
          <w:szCs w:val="28"/>
        </w:rPr>
        <w:t>中盐工程技术研究院有限公司做了大量工作，广东省广盐集团股份有限公司因工作安排与该标准起草时间相冲突，未参与标准制定。且国家盐产品质量监督检验中心是国盐检测（天津）有限责任公司的授权资质名称，标准起草单位应使用其企业法人名称。工作组经研讨，提出标准起草单位变更和起草单位更名的申请，依据</w:t>
      </w:r>
      <w:r>
        <w:rPr>
          <w:rFonts w:ascii="宋体" w:hAnsi="宋体" w:hint="eastAsia"/>
          <w:sz w:val="28"/>
          <w:szCs w:val="28"/>
        </w:rPr>
        <w:lastRenderedPageBreak/>
        <w:t>贡献量的大小，将起草单位及排列顺序申请改为“国盐检测（天津）有限责任公司、云南省盐业有限公司、</w:t>
      </w:r>
      <w:r w:rsidR="007C2C0F" w:rsidRPr="00AB2351">
        <w:rPr>
          <w:rFonts w:ascii="宋体" w:hAnsi="宋体" w:hint="eastAsia"/>
          <w:sz w:val="28"/>
          <w:szCs w:val="28"/>
        </w:rPr>
        <w:t>青海省盐业股份有限公司、</w:t>
      </w:r>
      <w:r>
        <w:rPr>
          <w:rFonts w:ascii="宋体" w:hAnsi="宋体" w:hint="eastAsia"/>
          <w:sz w:val="28"/>
          <w:szCs w:val="28"/>
        </w:rPr>
        <w:t>浙江蓝海星盐制品有限公司、中盐金坛盐化有限责任公司、福建省盐业集团有限责任公司、</w:t>
      </w:r>
      <w:r w:rsidR="007C2C0F">
        <w:rPr>
          <w:rFonts w:ascii="宋体" w:hAnsi="宋体" w:hint="eastAsia"/>
          <w:sz w:val="28"/>
          <w:szCs w:val="28"/>
        </w:rPr>
        <w:t>中国盐业股份有限公司、</w:t>
      </w:r>
      <w:r>
        <w:rPr>
          <w:rFonts w:ascii="宋体" w:hAnsi="宋体" w:hint="eastAsia"/>
          <w:sz w:val="28"/>
          <w:szCs w:val="28"/>
        </w:rPr>
        <w:t>中盐工程技术研究院有限公司”。标准起草单位变更经全体委员一致同意后，于2026年7月2日办理了计划项目调整申请。</w:t>
      </w:r>
    </w:p>
    <w:p w:rsidR="00C65152" w:rsidRDefault="00372EC6">
      <w:pPr>
        <w:spacing w:before="240" w:line="360" w:lineRule="auto"/>
        <w:ind w:firstLine="570"/>
        <w:rPr>
          <w:rFonts w:ascii="宋体" w:hAnsi="宋体"/>
          <w:sz w:val="28"/>
          <w:szCs w:val="28"/>
        </w:rPr>
      </w:pPr>
      <w:r>
        <w:rPr>
          <w:rFonts w:ascii="宋体" w:hAnsi="宋体" w:hint="eastAsia"/>
          <w:sz w:val="28"/>
          <w:szCs w:val="28"/>
        </w:rPr>
        <w:t>以上变更经全体委员一致同意。</w:t>
      </w:r>
    </w:p>
    <w:p w:rsidR="00C65152" w:rsidRDefault="00C65152">
      <w:pPr>
        <w:spacing w:before="240" w:line="360" w:lineRule="auto"/>
        <w:ind w:firstLine="570"/>
        <w:rPr>
          <w:rFonts w:ascii="宋体"/>
          <w:kern w:val="0"/>
          <w:sz w:val="28"/>
          <w:szCs w:val="28"/>
        </w:rPr>
      </w:pPr>
    </w:p>
    <w:p w:rsidR="00C65152" w:rsidRDefault="00372EC6">
      <w:pPr>
        <w:spacing w:before="240" w:line="360" w:lineRule="auto"/>
        <w:ind w:firstLineChars="1367" w:firstLine="3828"/>
        <w:rPr>
          <w:rFonts w:ascii="宋体"/>
          <w:sz w:val="28"/>
          <w:szCs w:val="28"/>
        </w:rPr>
      </w:pPr>
      <w:r>
        <w:rPr>
          <w:rFonts w:ascii="宋体" w:hAnsi="宋体" w:hint="eastAsia"/>
          <w:sz w:val="28"/>
          <w:szCs w:val="28"/>
        </w:rPr>
        <w:t>《果蔬洗涤盐》行业标准起草工作组</w:t>
      </w:r>
    </w:p>
    <w:p w:rsidR="00C65152" w:rsidRDefault="00372EC6">
      <w:pPr>
        <w:spacing w:before="240" w:line="360" w:lineRule="atLeast"/>
        <w:ind w:leftChars="2228" w:left="5102" w:hangingChars="151" w:hanging="423"/>
        <w:jc w:val="center"/>
        <w:rPr>
          <w:rFonts w:ascii="宋体"/>
          <w:sz w:val="28"/>
          <w:szCs w:val="28"/>
        </w:rPr>
      </w:pPr>
      <w:r>
        <w:rPr>
          <w:rFonts w:ascii="宋体" w:hAnsi="宋体"/>
          <w:sz w:val="28"/>
          <w:szCs w:val="28"/>
        </w:rPr>
        <w:t>202</w:t>
      </w:r>
      <w:r>
        <w:rPr>
          <w:rFonts w:ascii="宋体" w:hAnsi="宋体" w:hint="eastAsia"/>
          <w:sz w:val="28"/>
          <w:szCs w:val="28"/>
        </w:rPr>
        <w:t>6年7月20日</w:t>
      </w:r>
    </w:p>
    <w:sectPr w:rsidR="00C65152">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5A9" w:rsidRDefault="001A65A9" w:rsidP="00E11B5B">
      <w:r>
        <w:separator/>
      </w:r>
    </w:p>
  </w:endnote>
  <w:endnote w:type="continuationSeparator" w:id="0">
    <w:p w:rsidR="001A65A9" w:rsidRDefault="001A65A9" w:rsidP="00E11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notTrueType/>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5A9" w:rsidRDefault="001A65A9" w:rsidP="00E11B5B">
      <w:r>
        <w:separator/>
      </w:r>
    </w:p>
  </w:footnote>
  <w:footnote w:type="continuationSeparator" w:id="0">
    <w:p w:rsidR="001A65A9" w:rsidRDefault="001A65A9" w:rsidP="00E11B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C91163"/>
    <w:multiLevelType w:val="multilevel"/>
    <w:tmpl w:val="1FC91163"/>
    <w:lvl w:ilvl="0">
      <w:start w:val="1"/>
      <w:numFmt w:val="decimal"/>
      <w:pStyle w:val="a"/>
      <w:suff w:val="nothing"/>
      <w:lvlText w:val="%1　"/>
      <w:lvlJc w:val="left"/>
      <w:rPr>
        <w:rFonts w:ascii="黑体" w:eastAsia="黑体" w:hAnsi="Times New Roman" w:cs="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pStyle w:val="a2"/>
      <w:suff w:val="nothing"/>
      <w:lvlText w:val="%1.%2.%3.%4.%5　"/>
      <w:lvlJc w:val="left"/>
      <w:rPr>
        <w:rFonts w:ascii="黑体" w:eastAsia="黑体" w:hAnsi="Times New Roman" w:cs="Times New Roman" w:hint="eastAsia"/>
        <w:b w:val="0"/>
        <w:i w:val="0"/>
        <w:sz w:val="21"/>
      </w:rPr>
    </w:lvl>
    <w:lvl w:ilvl="5">
      <w:start w:val="1"/>
      <w:numFmt w:val="decimal"/>
      <w:pStyle w:val="a3"/>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56E"/>
    <w:rsid w:val="0000264E"/>
    <w:rsid w:val="000040D2"/>
    <w:rsid w:val="00005A07"/>
    <w:rsid w:val="00011B39"/>
    <w:rsid w:val="000129F0"/>
    <w:rsid w:val="00012A72"/>
    <w:rsid w:val="000138ED"/>
    <w:rsid w:val="000156A2"/>
    <w:rsid w:val="0001707C"/>
    <w:rsid w:val="00023459"/>
    <w:rsid w:val="0002353A"/>
    <w:rsid w:val="00023A6B"/>
    <w:rsid w:val="00026B41"/>
    <w:rsid w:val="000325C1"/>
    <w:rsid w:val="000348AE"/>
    <w:rsid w:val="000447EF"/>
    <w:rsid w:val="00044B33"/>
    <w:rsid w:val="00047C09"/>
    <w:rsid w:val="00050E8C"/>
    <w:rsid w:val="00051C64"/>
    <w:rsid w:val="00053862"/>
    <w:rsid w:val="00054126"/>
    <w:rsid w:val="00055A58"/>
    <w:rsid w:val="00062F7D"/>
    <w:rsid w:val="00062FEB"/>
    <w:rsid w:val="00064C96"/>
    <w:rsid w:val="00065865"/>
    <w:rsid w:val="00067585"/>
    <w:rsid w:val="00070584"/>
    <w:rsid w:val="000714D8"/>
    <w:rsid w:val="000717FA"/>
    <w:rsid w:val="00074454"/>
    <w:rsid w:val="0007552C"/>
    <w:rsid w:val="0007588F"/>
    <w:rsid w:val="00075CF4"/>
    <w:rsid w:val="00077261"/>
    <w:rsid w:val="00080509"/>
    <w:rsid w:val="0008063C"/>
    <w:rsid w:val="000833EE"/>
    <w:rsid w:val="00083D8A"/>
    <w:rsid w:val="0009024C"/>
    <w:rsid w:val="000934C0"/>
    <w:rsid w:val="00095A15"/>
    <w:rsid w:val="000972E3"/>
    <w:rsid w:val="000A4DD0"/>
    <w:rsid w:val="000B084D"/>
    <w:rsid w:val="000B1505"/>
    <w:rsid w:val="000B1AB9"/>
    <w:rsid w:val="000B3A39"/>
    <w:rsid w:val="000B6787"/>
    <w:rsid w:val="000B7F5F"/>
    <w:rsid w:val="000C11E2"/>
    <w:rsid w:val="000C47C2"/>
    <w:rsid w:val="000C4999"/>
    <w:rsid w:val="000C4DD7"/>
    <w:rsid w:val="000C6EBF"/>
    <w:rsid w:val="000C7604"/>
    <w:rsid w:val="000D2957"/>
    <w:rsid w:val="000D2BDA"/>
    <w:rsid w:val="000D3B74"/>
    <w:rsid w:val="000E0B92"/>
    <w:rsid w:val="000E1BA6"/>
    <w:rsid w:val="000E31CC"/>
    <w:rsid w:val="000E35A3"/>
    <w:rsid w:val="000E3A07"/>
    <w:rsid w:val="000E4FA2"/>
    <w:rsid w:val="000F5E19"/>
    <w:rsid w:val="000F6FC5"/>
    <w:rsid w:val="000F7844"/>
    <w:rsid w:val="001002BD"/>
    <w:rsid w:val="00107696"/>
    <w:rsid w:val="001076A8"/>
    <w:rsid w:val="00110AA8"/>
    <w:rsid w:val="00113942"/>
    <w:rsid w:val="0011506B"/>
    <w:rsid w:val="00121743"/>
    <w:rsid w:val="00123504"/>
    <w:rsid w:val="001279B3"/>
    <w:rsid w:val="001300F7"/>
    <w:rsid w:val="00136EFD"/>
    <w:rsid w:val="00140312"/>
    <w:rsid w:val="001430EA"/>
    <w:rsid w:val="00147A59"/>
    <w:rsid w:val="00147BF7"/>
    <w:rsid w:val="001508DC"/>
    <w:rsid w:val="001519C7"/>
    <w:rsid w:val="00154F0E"/>
    <w:rsid w:val="0015655D"/>
    <w:rsid w:val="00157E51"/>
    <w:rsid w:val="001624D6"/>
    <w:rsid w:val="00164195"/>
    <w:rsid w:val="001650D1"/>
    <w:rsid w:val="00167A00"/>
    <w:rsid w:val="00170AD9"/>
    <w:rsid w:val="00170BFF"/>
    <w:rsid w:val="00170E83"/>
    <w:rsid w:val="0017111F"/>
    <w:rsid w:val="00172044"/>
    <w:rsid w:val="0017270D"/>
    <w:rsid w:val="00172A27"/>
    <w:rsid w:val="001749A6"/>
    <w:rsid w:val="001764B4"/>
    <w:rsid w:val="00176648"/>
    <w:rsid w:val="001805BB"/>
    <w:rsid w:val="00180C79"/>
    <w:rsid w:val="001819FC"/>
    <w:rsid w:val="00191256"/>
    <w:rsid w:val="001921A4"/>
    <w:rsid w:val="00194567"/>
    <w:rsid w:val="00194C9D"/>
    <w:rsid w:val="001A01CD"/>
    <w:rsid w:val="001A038C"/>
    <w:rsid w:val="001A055E"/>
    <w:rsid w:val="001A2AE0"/>
    <w:rsid w:val="001A37CD"/>
    <w:rsid w:val="001A63B0"/>
    <w:rsid w:val="001A65A9"/>
    <w:rsid w:val="001B0D74"/>
    <w:rsid w:val="001B1627"/>
    <w:rsid w:val="001B16C2"/>
    <w:rsid w:val="001B57AF"/>
    <w:rsid w:val="001B5EED"/>
    <w:rsid w:val="001B6812"/>
    <w:rsid w:val="001C3F7B"/>
    <w:rsid w:val="001C52E9"/>
    <w:rsid w:val="001D1CD1"/>
    <w:rsid w:val="001D3AB0"/>
    <w:rsid w:val="001D4A1D"/>
    <w:rsid w:val="001D5848"/>
    <w:rsid w:val="001D5A2A"/>
    <w:rsid w:val="001E072E"/>
    <w:rsid w:val="001E1979"/>
    <w:rsid w:val="001E2CE1"/>
    <w:rsid w:val="001E48C8"/>
    <w:rsid w:val="001F09C5"/>
    <w:rsid w:val="001F3CAA"/>
    <w:rsid w:val="001F3CC0"/>
    <w:rsid w:val="001F4A3B"/>
    <w:rsid w:val="001F5E0F"/>
    <w:rsid w:val="001F626D"/>
    <w:rsid w:val="001F7556"/>
    <w:rsid w:val="001F7685"/>
    <w:rsid w:val="001F7CD3"/>
    <w:rsid w:val="002048E1"/>
    <w:rsid w:val="00206718"/>
    <w:rsid w:val="00210121"/>
    <w:rsid w:val="00214896"/>
    <w:rsid w:val="002156B9"/>
    <w:rsid w:val="00220509"/>
    <w:rsid w:val="00221FB2"/>
    <w:rsid w:val="00224653"/>
    <w:rsid w:val="002308E1"/>
    <w:rsid w:val="00231304"/>
    <w:rsid w:val="0023143A"/>
    <w:rsid w:val="00232719"/>
    <w:rsid w:val="00233E4F"/>
    <w:rsid w:val="00234B19"/>
    <w:rsid w:val="00241CDD"/>
    <w:rsid w:val="00242451"/>
    <w:rsid w:val="00245907"/>
    <w:rsid w:val="00245D4A"/>
    <w:rsid w:val="002460F3"/>
    <w:rsid w:val="00246769"/>
    <w:rsid w:val="00250064"/>
    <w:rsid w:val="0025139D"/>
    <w:rsid w:val="00251497"/>
    <w:rsid w:val="0025167E"/>
    <w:rsid w:val="0025207C"/>
    <w:rsid w:val="002531B3"/>
    <w:rsid w:val="0025400E"/>
    <w:rsid w:val="002549F3"/>
    <w:rsid w:val="00255813"/>
    <w:rsid w:val="00257CE0"/>
    <w:rsid w:val="00263017"/>
    <w:rsid w:val="00263590"/>
    <w:rsid w:val="00263785"/>
    <w:rsid w:val="00267E2B"/>
    <w:rsid w:val="0027533A"/>
    <w:rsid w:val="00276D84"/>
    <w:rsid w:val="00280485"/>
    <w:rsid w:val="00282655"/>
    <w:rsid w:val="00293686"/>
    <w:rsid w:val="00293CB1"/>
    <w:rsid w:val="0029407F"/>
    <w:rsid w:val="002940CD"/>
    <w:rsid w:val="002A17ED"/>
    <w:rsid w:val="002A2E9E"/>
    <w:rsid w:val="002A3023"/>
    <w:rsid w:val="002A3C4E"/>
    <w:rsid w:val="002A5A41"/>
    <w:rsid w:val="002A5E51"/>
    <w:rsid w:val="002A77BD"/>
    <w:rsid w:val="002A7B26"/>
    <w:rsid w:val="002B6583"/>
    <w:rsid w:val="002B6A65"/>
    <w:rsid w:val="002B76E2"/>
    <w:rsid w:val="002C03C4"/>
    <w:rsid w:val="002C0A18"/>
    <w:rsid w:val="002C1ACE"/>
    <w:rsid w:val="002C337C"/>
    <w:rsid w:val="002C3D89"/>
    <w:rsid w:val="002C4DBC"/>
    <w:rsid w:val="002D0AA4"/>
    <w:rsid w:val="002D28F2"/>
    <w:rsid w:val="002D59A6"/>
    <w:rsid w:val="002D713E"/>
    <w:rsid w:val="002E270B"/>
    <w:rsid w:val="002E5D1B"/>
    <w:rsid w:val="002E6FCF"/>
    <w:rsid w:val="002F2E3D"/>
    <w:rsid w:val="002F3610"/>
    <w:rsid w:val="002F3C4E"/>
    <w:rsid w:val="002F3D3D"/>
    <w:rsid w:val="002F6BA7"/>
    <w:rsid w:val="002F7BFB"/>
    <w:rsid w:val="00301C36"/>
    <w:rsid w:val="00303E1B"/>
    <w:rsid w:val="00303FA4"/>
    <w:rsid w:val="0030645A"/>
    <w:rsid w:val="003133C8"/>
    <w:rsid w:val="00314695"/>
    <w:rsid w:val="0031584A"/>
    <w:rsid w:val="00316F3E"/>
    <w:rsid w:val="0032070F"/>
    <w:rsid w:val="00325F89"/>
    <w:rsid w:val="00327196"/>
    <w:rsid w:val="00327F77"/>
    <w:rsid w:val="00332A7A"/>
    <w:rsid w:val="003347D8"/>
    <w:rsid w:val="0033706D"/>
    <w:rsid w:val="003372F7"/>
    <w:rsid w:val="00340C34"/>
    <w:rsid w:val="00340E0F"/>
    <w:rsid w:val="00340F44"/>
    <w:rsid w:val="00346EFD"/>
    <w:rsid w:val="003477C6"/>
    <w:rsid w:val="00347BBA"/>
    <w:rsid w:val="00347E56"/>
    <w:rsid w:val="003507A4"/>
    <w:rsid w:val="003519CA"/>
    <w:rsid w:val="00352973"/>
    <w:rsid w:val="00353CC2"/>
    <w:rsid w:val="0035411C"/>
    <w:rsid w:val="00356D05"/>
    <w:rsid w:val="003617FC"/>
    <w:rsid w:val="0036202D"/>
    <w:rsid w:val="00362832"/>
    <w:rsid w:val="00363396"/>
    <w:rsid w:val="00363412"/>
    <w:rsid w:val="003654B6"/>
    <w:rsid w:val="003675DD"/>
    <w:rsid w:val="003711B3"/>
    <w:rsid w:val="00372125"/>
    <w:rsid w:val="003721F8"/>
    <w:rsid w:val="00372D03"/>
    <w:rsid w:val="00372EC6"/>
    <w:rsid w:val="00373547"/>
    <w:rsid w:val="00374960"/>
    <w:rsid w:val="003802B6"/>
    <w:rsid w:val="00380349"/>
    <w:rsid w:val="00392636"/>
    <w:rsid w:val="003950E4"/>
    <w:rsid w:val="00396205"/>
    <w:rsid w:val="0039710C"/>
    <w:rsid w:val="00397773"/>
    <w:rsid w:val="003A0486"/>
    <w:rsid w:val="003A22DA"/>
    <w:rsid w:val="003A36DD"/>
    <w:rsid w:val="003A507C"/>
    <w:rsid w:val="003B3084"/>
    <w:rsid w:val="003B4935"/>
    <w:rsid w:val="003B4FBC"/>
    <w:rsid w:val="003B5527"/>
    <w:rsid w:val="003B55A5"/>
    <w:rsid w:val="003B7109"/>
    <w:rsid w:val="003C050D"/>
    <w:rsid w:val="003C0E62"/>
    <w:rsid w:val="003C1E0D"/>
    <w:rsid w:val="003C1F19"/>
    <w:rsid w:val="003C3084"/>
    <w:rsid w:val="003C343F"/>
    <w:rsid w:val="003C382B"/>
    <w:rsid w:val="003C3D27"/>
    <w:rsid w:val="003C7D33"/>
    <w:rsid w:val="003D1889"/>
    <w:rsid w:val="003D1E03"/>
    <w:rsid w:val="003D3A51"/>
    <w:rsid w:val="003E0382"/>
    <w:rsid w:val="003E318A"/>
    <w:rsid w:val="003E4F84"/>
    <w:rsid w:val="003E56EE"/>
    <w:rsid w:val="003E6F42"/>
    <w:rsid w:val="003F5021"/>
    <w:rsid w:val="0040204C"/>
    <w:rsid w:val="0040364C"/>
    <w:rsid w:val="00404147"/>
    <w:rsid w:val="004041FC"/>
    <w:rsid w:val="00404C4E"/>
    <w:rsid w:val="00406892"/>
    <w:rsid w:val="004159F4"/>
    <w:rsid w:val="004223C1"/>
    <w:rsid w:val="00424986"/>
    <w:rsid w:val="00425A3C"/>
    <w:rsid w:val="00427F21"/>
    <w:rsid w:val="00436695"/>
    <w:rsid w:val="00437769"/>
    <w:rsid w:val="00440744"/>
    <w:rsid w:val="00442D8A"/>
    <w:rsid w:val="00447FD1"/>
    <w:rsid w:val="004512A0"/>
    <w:rsid w:val="00460085"/>
    <w:rsid w:val="004664C9"/>
    <w:rsid w:val="00467C72"/>
    <w:rsid w:val="00471E0C"/>
    <w:rsid w:val="0047283A"/>
    <w:rsid w:val="004737D9"/>
    <w:rsid w:val="00474D1E"/>
    <w:rsid w:val="004765A9"/>
    <w:rsid w:val="004808C8"/>
    <w:rsid w:val="0048192D"/>
    <w:rsid w:val="00482802"/>
    <w:rsid w:val="004856AE"/>
    <w:rsid w:val="00485D86"/>
    <w:rsid w:val="00486B5C"/>
    <w:rsid w:val="00487A96"/>
    <w:rsid w:val="004907AD"/>
    <w:rsid w:val="00491206"/>
    <w:rsid w:val="00491FAB"/>
    <w:rsid w:val="004929A4"/>
    <w:rsid w:val="00493105"/>
    <w:rsid w:val="00493C16"/>
    <w:rsid w:val="00494967"/>
    <w:rsid w:val="00494B9A"/>
    <w:rsid w:val="00495B4D"/>
    <w:rsid w:val="004A1940"/>
    <w:rsid w:val="004A3886"/>
    <w:rsid w:val="004A3EEA"/>
    <w:rsid w:val="004A50E0"/>
    <w:rsid w:val="004A6A9A"/>
    <w:rsid w:val="004A78DA"/>
    <w:rsid w:val="004A7DB3"/>
    <w:rsid w:val="004B1609"/>
    <w:rsid w:val="004B189B"/>
    <w:rsid w:val="004B5962"/>
    <w:rsid w:val="004C0839"/>
    <w:rsid w:val="004C272A"/>
    <w:rsid w:val="004C3500"/>
    <w:rsid w:val="004C5527"/>
    <w:rsid w:val="004D068A"/>
    <w:rsid w:val="004D0A31"/>
    <w:rsid w:val="004D1F24"/>
    <w:rsid w:val="004D2062"/>
    <w:rsid w:val="004D25A6"/>
    <w:rsid w:val="004D3A73"/>
    <w:rsid w:val="004D5DC9"/>
    <w:rsid w:val="004D6F5B"/>
    <w:rsid w:val="004E5990"/>
    <w:rsid w:val="004E5E45"/>
    <w:rsid w:val="004F0DDB"/>
    <w:rsid w:val="004F149E"/>
    <w:rsid w:val="004F2ED3"/>
    <w:rsid w:val="004F39F0"/>
    <w:rsid w:val="004F51C8"/>
    <w:rsid w:val="004F7ABC"/>
    <w:rsid w:val="004F7EF4"/>
    <w:rsid w:val="005003E7"/>
    <w:rsid w:val="005008B8"/>
    <w:rsid w:val="005016A8"/>
    <w:rsid w:val="00505BAC"/>
    <w:rsid w:val="00506F2A"/>
    <w:rsid w:val="00512FA5"/>
    <w:rsid w:val="0051361E"/>
    <w:rsid w:val="00513F17"/>
    <w:rsid w:val="00517111"/>
    <w:rsid w:val="00517D18"/>
    <w:rsid w:val="00517D34"/>
    <w:rsid w:val="00521D0D"/>
    <w:rsid w:val="00522616"/>
    <w:rsid w:val="00523363"/>
    <w:rsid w:val="005255F3"/>
    <w:rsid w:val="005267BC"/>
    <w:rsid w:val="00526C7D"/>
    <w:rsid w:val="00530CC1"/>
    <w:rsid w:val="005329D6"/>
    <w:rsid w:val="00533608"/>
    <w:rsid w:val="00534099"/>
    <w:rsid w:val="0053433C"/>
    <w:rsid w:val="00534683"/>
    <w:rsid w:val="00534871"/>
    <w:rsid w:val="0053544A"/>
    <w:rsid w:val="00537816"/>
    <w:rsid w:val="00541B83"/>
    <w:rsid w:val="00541F71"/>
    <w:rsid w:val="005535FB"/>
    <w:rsid w:val="005554C4"/>
    <w:rsid w:val="005569B6"/>
    <w:rsid w:val="00556EB2"/>
    <w:rsid w:val="00557214"/>
    <w:rsid w:val="00557C78"/>
    <w:rsid w:val="00565541"/>
    <w:rsid w:val="005745D1"/>
    <w:rsid w:val="005748B6"/>
    <w:rsid w:val="00575081"/>
    <w:rsid w:val="005879B1"/>
    <w:rsid w:val="00590192"/>
    <w:rsid w:val="0059112A"/>
    <w:rsid w:val="00593EFA"/>
    <w:rsid w:val="00594085"/>
    <w:rsid w:val="00596F89"/>
    <w:rsid w:val="005A1D0F"/>
    <w:rsid w:val="005A200A"/>
    <w:rsid w:val="005A305D"/>
    <w:rsid w:val="005A5579"/>
    <w:rsid w:val="005A597D"/>
    <w:rsid w:val="005A6BE9"/>
    <w:rsid w:val="005A6C22"/>
    <w:rsid w:val="005B18BD"/>
    <w:rsid w:val="005B27D8"/>
    <w:rsid w:val="005B2EEF"/>
    <w:rsid w:val="005B4657"/>
    <w:rsid w:val="005B5004"/>
    <w:rsid w:val="005B5ACA"/>
    <w:rsid w:val="005B6FAF"/>
    <w:rsid w:val="005C0470"/>
    <w:rsid w:val="005C0AF5"/>
    <w:rsid w:val="005C2E19"/>
    <w:rsid w:val="005C5573"/>
    <w:rsid w:val="005D0D28"/>
    <w:rsid w:val="005D2159"/>
    <w:rsid w:val="005D38B0"/>
    <w:rsid w:val="005E1229"/>
    <w:rsid w:val="005E14F0"/>
    <w:rsid w:val="005E3435"/>
    <w:rsid w:val="005F41CF"/>
    <w:rsid w:val="005F4B5E"/>
    <w:rsid w:val="005F6C7E"/>
    <w:rsid w:val="00601DD3"/>
    <w:rsid w:val="0060281D"/>
    <w:rsid w:val="00610AF8"/>
    <w:rsid w:val="00611380"/>
    <w:rsid w:val="00615B1D"/>
    <w:rsid w:val="006209D4"/>
    <w:rsid w:val="006228B5"/>
    <w:rsid w:val="006246F0"/>
    <w:rsid w:val="006258E3"/>
    <w:rsid w:val="006279E7"/>
    <w:rsid w:val="006329FF"/>
    <w:rsid w:val="00635FED"/>
    <w:rsid w:val="00636B17"/>
    <w:rsid w:val="00640C4D"/>
    <w:rsid w:val="00641E16"/>
    <w:rsid w:val="00645511"/>
    <w:rsid w:val="006506B3"/>
    <w:rsid w:val="0065119A"/>
    <w:rsid w:val="00652271"/>
    <w:rsid w:val="00652E9E"/>
    <w:rsid w:val="0066123F"/>
    <w:rsid w:val="006649AE"/>
    <w:rsid w:val="00664D68"/>
    <w:rsid w:val="00665672"/>
    <w:rsid w:val="006663DE"/>
    <w:rsid w:val="00671DC3"/>
    <w:rsid w:val="00672A65"/>
    <w:rsid w:val="00674C4F"/>
    <w:rsid w:val="0067683B"/>
    <w:rsid w:val="006805A8"/>
    <w:rsid w:val="00680B16"/>
    <w:rsid w:val="00681495"/>
    <w:rsid w:val="00681E96"/>
    <w:rsid w:val="006832EE"/>
    <w:rsid w:val="0068400D"/>
    <w:rsid w:val="00684B04"/>
    <w:rsid w:val="006865BD"/>
    <w:rsid w:val="0069169F"/>
    <w:rsid w:val="006A076A"/>
    <w:rsid w:val="006A643A"/>
    <w:rsid w:val="006B339A"/>
    <w:rsid w:val="006B51BC"/>
    <w:rsid w:val="006C059A"/>
    <w:rsid w:val="006C05C6"/>
    <w:rsid w:val="006C1BDE"/>
    <w:rsid w:val="006D0A86"/>
    <w:rsid w:val="006D0F72"/>
    <w:rsid w:val="006D2E78"/>
    <w:rsid w:val="006D384D"/>
    <w:rsid w:val="006D3896"/>
    <w:rsid w:val="006D776F"/>
    <w:rsid w:val="006E3CF5"/>
    <w:rsid w:val="006E4479"/>
    <w:rsid w:val="006E5E40"/>
    <w:rsid w:val="006E6077"/>
    <w:rsid w:val="006F0422"/>
    <w:rsid w:val="006F1A00"/>
    <w:rsid w:val="006F4638"/>
    <w:rsid w:val="006F49FC"/>
    <w:rsid w:val="006F5EB7"/>
    <w:rsid w:val="006F75BE"/>
    <w:rsid w:val="006F7629"/>
    <w:rsid w:val="006F76B3"/>
    <w:rsid w:val="00700F3C"/>
    <w:rsid w:val="007031D2"/>
    <w:rsid w:val="00703ECA"/>
    <w:rsid w:val="007046EC"/>
    <w:rsid w:val="00711591"/>
    <w:rsid w:val="00711A96"/>
    <w:rsid w:val="00711E8B"/>
    <w:rsid w:val="00717404"/>
    <w:rsid w:val="00723DEA"/>
    <w:rsid w:val="00726C14"/>
    <w:rsid w:val="0073571E"/>
    <w:rsid w:val="0073718A"/>
    <w:rsid w:val="0074087C"/>
    <w:rsid w:val="00742606"/>
    <w:rsid w:val="00742B5E"/>
    <w:rsid w:val="007536A3"/>
    <w:rsid w:val="00753CB9"/>
    <w:rsid w:val="00754430"/>
    <w:rsid w:val="0075759E"/>
    <w:rsid w:val="00757ABD"/>
    <w:rsid w:val="00762CB6"/>
    <w:rsid w:val="00772EDB"/>
    <w:rsid w:val="00773A57"/>
    <w:rsid w:val="00773B8C"/>
    <w:rsid w:val="00775266"/>
    <w:rsid w:val="00775C18"/>
    <w:rsid w:val="00777E6F"/>
    <w:rsid w:val="007832E6"/>
    <w:rsid w:val="00785367"/>
    <w:rsid w:val="00785926"/>
    <w:rsid w:val="00787BA4"/>
    <w:rsid w:val="007900BA"/>
    <w:rsid w:val="00790BFC"/>
    <w:rsid w:val="00795A8B"/>
    <w:rsid w:val="00796367"/>
    <w:rsid w:val="00797E6B"/>
    <w:rsid w:val="007A043F"/>
    <w:rsid w:val="007A2046"/>
    <w:rsid w:val="007A41AF"/>
    <w:rsid w:val="007A654C"/>
    <w:rsid w:val="007A6B55"/>
    <w:rsid w:val="007A6F2B"/>
    <w:rsid w:val="007B08ED"/>
    <w:rsid w:val="007B0DB6"/>
    <w:rsid w:val="007B11CA"/>
    <w:rsid w:val="007B143C"/>
    <w:rsid w:val="007B3FF4"/>
    <w:rsid w:val="007C00B7"/>
    <w:rsid w:val="007C0D53"/>
    <w:rsid w:val="007C13B5"/>
    <w:rsid w:val="007C169F"/>
    <w:rsid w:val="007C2C0F"/>
    <w:rsid w:val="007C2EDF"/>
    <w:rsid w:val="007C7C9D"/>
    <w:rsid w:val="007D4FF3"/>
    <w:rsid w:val="007D53F9"/>
    <w:rsid w:val="007D72A1"/>
    <w:rsid w:val="007E5147"/>
    <w:rsid w:val="007E5DAD"/>
    <w:rsid w:val="007F1384"/>
    <w:rsid w:val="007F1D6D"/>
    <w:rsid w:val="007F2D19"/>
    <w:rsid w:val="007F3181"/>
    <w:rsid w:val="007F7277"/>
    <w:rsid w:val="007F7ACD"/>
    <w:rsid w:val="0080423C"/>
    <w:rsid w:val="00805380"/>
    <w:rsid w:val="00810A04"/>
    <w:rsid w:val="00813D84"/>
    <w:rsid w:val="00816109"/>
    <w:rsid w:val="00817C16"/>
    <w:rsid w:val="008203A1"/>
    <w:rsid w:val="00822DEC"/>
    <w:rsid w:val="008234E0"/>
    <w:rsid w:val="008256C1"/>
    <w:rsid w:val="00827136"/>
    <w:rsid w:val="008273B0"/>
    <w:rsid w:val="0082781D"/>
    <w:rsid w:val="00827BE7"/>
    <w:rsid w:val="008309A8"/>
    <w:rsid w:val="00831D4B"/>
    <w:rsid w:val="00834046"/>
    <w:rsid w:val="00834FD3"/>
    <w:rsid w:val="00835878"/>
    <w:rsid w:val="00837275"/>
    <w:rsid w:val="0084406E"/>
    <w:rsid w:val="0085023B"/>
    <w:rsid w:val="008505F2"/>
    <w:rsid w:val="008525B2"/>
    <w:rsid w:val="00856BF1"/>
    <w:rsid w:val="00857C59"/>
    <w:rsid w:val="00863A41"/>
    <w:rsid w:val="008653C7"/>
    <w:rsid w:val="0087085B"/>
    <w:rsid w:val="0087086E"/>
    <w:rsid w:val="0087408D"/>
    <w:rsid w:val="0087500F"/>
    <w:rsid w:val="00876A9B"/>
    <w:rsid w:val="00877632"/>
    <w:rsid w:val="008811F0"/>
    <w:rsid w:val="0088296A"/>
    <w:rsid w:val="008869DD"/>
    <w:rsid w:val="00891503"/>
    <w:rsid w:val="00892BAF"/>
    <w:rsid w:val="008947E3"/>
    <w:rsid w:val="00897131"/>
    <w:rsid w:val="00897312"/>
    <w:rsid w:val="00897C35"/>
    <w:rsid w:val="008A1359"/>
    <w:rsid w:val="008A20E6"/>
    <w:rsid w:val="008A3CC3"/>
    <w:rsid w:val="008A421E"/>
    <w:rsid w:val="008B1ED5"/>
    <w:rsid w:val="008B2461"/>
    <w:rsid w:val="008B31E6"/>
    <w:rsid w:val="008B5248"/>
    <w:rsid w:val="008B618B"/>
    <w:rsid w:val="008B62B2"/>
    <w:rsid w:val="008C12FD"/>
    <w:rsid w:val="008C6C83"/>
    <w:rsid w:val="008D493E"/>
    <w:rsid w:val="008D4A08"/>
    <w:rsid w:val="008D66C8"/>
    <w:rsid w:val="008D7A7B"/>
    <w:rsid w:val="008D7E3E"/>
    <w:rsid w:val="008E1CD6"/>
    <w:rsid w:val="008E35E8"/>
    <w:rsid w:val="008E6D9A"/>
    <w:rsid w:val="008F47C3"/>
    <w:rsid w:val="008F5562"/>
    <w:rsid w:val="008F6855"/>
    <w:rsid w:val="009011A7"/>
    <w:rsid w:val="00901287"/>
    <w:rsid w:val="00903205"/>
    <w:rsid w:val="00904F47"/>
    <w:rsid w:val="00910EDE"/>
    <w:rsid w:val="009132FA"/>
    <w:rsid w:val="0091485A"/>
    <w:rsid w:val="009152C5"/>
    <w:rsid w:val="00917E09"/>
    <w:rsid w:val="009206C6"/>
    <w:rsid w:val="0092136D"/>
    <w:rsid w:val="00921B9F"/>
    <w:rsid w:val="00921C60"/>
    <w:rsid w:val="0092596F"/>
    <w:rsid w:val="0093118B"/>
    <w:rsid w:val="0093253A"/>
    <w:rsid w:val="00932CF3"/>
    <w:rsid w:val="00932EFE"/>
    <w:rsid w:val="00934108"/>
    <w:rsid w:val="00936274"/>
    <w:rsid w:val="00940A81"/>
    <w:rsid w:val="00942202"/>
    <w:rsid w:val="00945189"/>
    <w:rsid w:val="009451C6"/>
    <w:rsid w:val="009503D5"/>
    <w:rsid w:val="009513B3"/>
    <w:rsid w:val="00956136"/>
    <w:rsid w:val="0096180E"/>
    <w:rsid w:val="009648B1"/>
    <w:rsid w:val="00965A35"/>
    <w:rsid w:val="00967E0D"/>
    <w:rsid w:val="009761D3"/>
    <w:rsid w:val="00977812"/>
    <w:rsid w:val="0098318F"/>
    <w:rsid w:val="00985D2F"/>
    <w:rsid w:val="009861BB"/>
    <w:rsid w:val="00990867"/>
    <w:rsid w:val="00990E5F"/>
    <w:rsid w:val="009911FA"/>
    <w:rsid w:val="00991D72"/>
    <w:rsid w:val="00993025"/>
    <w:rsid w:val="009952A3"/>
    <w:rsid w:val="009956D4"/>
    <w:rsid w:val="009A0D1F"/>
    <w:rsid w:val="009A212D"/>
    <w:rsid w:val="009A39F5"/>
    <w:rsid w:val="009A49A8"/>
    <w:rsid w:val="009A4B70"/>
    <w:rsid w:val="009A5644"/>
    <w:rsid w:val="009B2ADB"/>
    <w:rsid w:val="009B32DB"/>
    <w:rsid w:val="009C0092"/>
    <w:rsid w:val="009C0727"/>
    <w:rsid w:val="009C1E12"/>
    <w:rsid w:val="009C4A66"/>
    <w:rsid w:val="009C6F28"/>
    <w:rsid w:val="009D00A7"/>
    <w:rsid w:val="009D0B73"/>
    <w:rsid w:val="009D4F28"/>
    <w:rsid w:val="009D5A33"/>
    <w:rsid w:val="009D7C8B"/>
    <w:rsid w:val="009E3125"/>
    <w:rsid w:val="009E5908"/>
    <w:rsid w:val="009E5E3B"/>
    <w:rsid w:val="009E6732"/>
    <w:rsid w:val="009E6A96"/>
    <w:rsid w:val="009F2DB7"/>
    <w:rsid w:val="009F617E"/>
    <w:rsid w:val="009F66D5"/>
    <w:rsid w:val="009F6F45"/>
    <w:rsid w:val="00A03D26"/>
    <w:rsid w:val="00A0644A"/>
    <w:rsid w:val="00A064F2"/>
    <w:rsid w:val="00A108FD"/>
    <w:rsid w:val="00A115C5"/>
    <w:rsid w:val="00A13B9D"/>
    <w:rsid w:val="00A14CDC"/>
    <w:rsid w:val="00A16F1C"/>
    <w:rsid w:val="00A17DB2"/>
    <w:rsid w:val="00A229F5"/>
    <w:rsid w:val="00A23605"/>
    <w:rsid w:val="00A24AF6"/>
    <w:rsid w:val="00A24CBE"/>
    <w:rsid w:val="00A30486"/>
    <w:rsid w:val="00A30C37"/>
    <w:rsid w:val="00A3721F"/>
    <w:rsid w:val="00A417AA"/>
    <w:rsid w:val="00A425B0"/>
    <w:rsid w:val="00A5244B"/>
    <w:rsid w:val="00A57326"/>
    <w:rsid w:val="00A605C8"/>
    <w:rsid w:val="00A629EC"/>
    <w:rsid w:val="00A634B1"/>
    <w:rsid w:val="00A73FC8"/>
    <w:rsid w:val="00A750BA"/>
    <w:rsid w:val="00A77B40"/>
    <w:rsid w:val="00A85D5E"/>
    <w:rsid w:val="00A862DF"/>
    <w:rsid w:val="00A90B87"/>
    <w:rsid w:val="00A9151B"/>
    <w:rsid w:val="00A9191D"/>
    <w:rsid w:val="00A91B39"/>
    <w:rsid w:val="00A96AE9"/>
    <w:rsid w:val="00AA2B5B"/>
    <w:rsid w:val="00AA38F4"/>
    <w:rsid w:val="00AA5B1D"/>
    <w:rsid w:val="00AA668F"/>
    <w:rsid w:val="00AA7655"/>
    <w:rsid w:val="00AB0986"/>
    <w:rsid w:val="00AB2351"/>
    <w:rsid w:val="00AB4019"/>
    <w:rsid w:val="00AB6218"/>
    <w:rsid w:val="00AB6CE8"/>
    <w:rsid w:val="00AC1562"/>
    <w:rsid w:val="00AC4616"/>
    <w:rsid w:val="00AC5572"/>
    <w:rsid w:val="00AD0250"/>
    <w:rsid w:val="00AD1014"/>
    <w:rsid w:val="00AD3AA5"/>
    <w:rsid w:val="00AD3B80"/>
    <w:rsid w:val="00AE03B6"/>
    <w:rsid w:val="00AE05F7"/>
    <w:rsid w:val="00AE3B17"/>
    <w:rsid w:val="00AF071A"/>
    <w:rsid w:val="00AF30EA"/>
    <w:rsid w:val="00AF3397"/>
    <w:rsid w:val="00AF4B71"/>
    <w:rsid w:val="00AF4ECE"/>
    <w:rsid w:val="00AF5A61"/>
    <w:rsid w:val="00B02726"/>
    <w:rsid w:val="00B059F1"/>
    <w:rsid w:val="00B0724F"/>
    <w:rsid w:val="00B07916"/>
    <w:rsid w:val="00B10995"/>
    <w:rsid w:val="00B124D7"/>
    <w:rsid w:val="00B13653"/>
    <w:rsid w:val="00B14627"/>
    <w:rsid w:val="00B14B38"/>
    <w:rsid w:val="00B14F2E"/>
    <w:rsid w:val="00B17A39"/>
    <w:rsid w:val="00B21405"/>
    <w:rsid w:val="00B24464"/>
    <w:rsid w:val="00B2580A"/>
    <w:rsid w:val="00B32A95"/>
    <w:rsid w:val="00B3362A"/>
    <w:rsid w:val="00B371E0"/>
    <w:rsid w:val="00B40CDE"/>
    <w:rsid w:val="00B41EFA"/>
    <w:rsid w:val="00B43A5A"/>
    <w:rsid w:val="00B43D8B"/>
    <w:rsid w:val="00B456B1"/>
    <w:rsid w:val="00B52BCD"/>
    <w:rsid w:val="00B54A99"/>
    <w:rsid w:val="00B56B1F"/>
    <w:rsid w:val="00B61DCE"/>
    <w:rsid w:val="00B63965"/>
    <w:rsid w:val="00B66F7B"/>
    <w:rsid w:val="00B670FF"/>
    <w:rsid w:val="00B67BFD"/>
    <w:rsid w:val="00B718C9"/>
    <w:rsid w:val="00B71E23"/>
    <w:rsid w:val="00B733F8"/>
    <w:rsid w:val="00B73741"/>
    <w:rsid w:val="00B73D9C"/>
    <w:rsid w:val="00B73F04"/>
    <w:rsid w:val="00B74E0E"/>
    <w:rsid w:val="00B77C35"/>
    <w:rsid w:val="00B80AD4"/>
    <w:rsid w:val="00B828A0"/>
    <w:rsid w:val="00B84C8C"/>
    <w:rsid w:val="00B86B4E"/>
    <w:rsid w:val="00B909DA"/>
    <w:rsid w:val="00B92C29"/>
    <w:rsid w:val="00B92FAD"/>
    <w:rsid w:val="00B959F9"/>
    <w:rsid w:val="00BA13CF"/>
    <w:rsid w:val="00BA4145"/>
    <w:rsid w:val="00BB1557"/>
    <w:rsid w:val="00BB2B3F"/>
    <w:rsid w:val="00BB65B5"/>
    <w:rsid w:val="00BB68CA"/>
    <w:rsid w:val="00BB6B7B"/>
    <w:rsid w:val="00BB7D87"/>
    <w:rsid w:val="00BC0FD9"/>
    <w:rsid w:val="00BC4254"/>
    <w:rsid w:val="00BC42DD"/>
    <w:rsid w:val="00BC62D4"/>
    <w:rsid w:val="00BC6D30"/>
    <w:rsid w:val="00BC6FB8"/>
    <w:rsid w:val="00BD0CEA"/>
    <w:rsid w:val="00BD44F3"/>
    <w:rsid w:val="00BD7179"/>
    <w:rsid w:val="00BD7BDE"/>
    <w:rsid w:val="00BE14C7"/>
    <w:rsid w:val="00BE2ECA"/>
    <w:rsid w:val="00BE3C17"/>
    <w:rsid w:val="00BE6821"/>
    <w:rsid w:val="00BE6B90"/>
    <w:rsid w:val="00BF0475"/>
    <w:rsid w:val="00BF1A83"/>
    <w:rsid w:val="00BF264B"/>
    <w:rsid w:val="00BF3E98"/>
    <w:rsid w:val="00C01049"/>
    <w:rsid w:val="00C053C5"/>
    <w:rsid w:val="00C056C6"/>
    <w:rsid w:val="00C07F43"/>
    <w:rsid w:val="00C10236"/>
    <w:rsid w:val="00C11FA6"/>
    <w:rsid w:val="00C1280F"/>
    <w:rsid w:val="00C133BC"/>
    <w:rsid w:val="00C1346A"/>
    <w:rsid w:val="00C13680"/>
    <w:rsid w:val="00C13D86"/>
    <w:rsid w:val="00C21D28"/>
    <w:rsid w:val="00C22107"/>
    <w:rsid w:val="00C260FD"/>
    <w:rsid w:val="00C26983"/>
    <w:rsid w:val="00C27C90"/>
    <w:rsid w:val="00C328FA"/>
    <w:rsid w:val="00C33AF7"/>
    <w:rsid w:val="00C360A7"/>
    <w:rsid w:val="00C41D8D"/>
    <w:rsid w:val="00C427E5"/>
    <w:rsid w:val="00C44897"/>
    <w:rsid w:val="00C448B8"/>
    <w:rsid w:val="00C47F4F"/>
    <w:rsid w:val="00C52188"/>
    <w:rsid w:val="00C53297"/>
    <w:rsid w:val="00C53D8C"/>
    <w:rsid w:val="00C54088"/>
    <w:rsid w:val="00C5519C"/>
    <w:rsid w:val="00C5613F"/>
    <w:rsid w:val="00C63107"/>
    <w:rsid w:val="00C635E4"/>
    <w:rsid w:val="00C65152"/>
    <w:rsid w:val="00C65D79"/>
    <w:rsid w:val="00C65EA3"/>
    <w:rsid w:val="00C7107C"/>
    <w:rsid w:val="00C74582"/>
    <w:rsid w:val="00C745D3"/>
    <w:rsid w:val="00C74DCF"/>
    <w:rsid w:val="00C76073"/>
    <w:rsid w:val="00C766DF"/>
    <w:rsid w:val="00C81E48"/>
    <w:rsid w:val="00C86E9E"/>
    <w:rsid w:val="00C87762"/>
    <w:rsid w:val="00C93044"/>
    <w:rsid w:val="00CA1888"/>
    <w:rsid w:val="00CA1CF9"/>
    <w:rsid w:val="00CA38BA"/>
    <w:rsid w:val="00CA7B81"/>
    <w:rsid w:val="00CA7DF2"/>
    <w:rsid w:val="00CB09EF"/>
    <w:rsid w:val="00CB0F73"/>
    <w:rsid w:val="00CB15FE"/>
    <w:rsid w:val="00CB591A"/>
    <w:rsid w:val="00CB7938"/>
    <w:rsid w:val="00CC045D"/>
    <w:rsid w:val="00CC0BC7"/>
    <w:rsid w:val="00CC27B0"/>
    <w:rsid w:val="00CC3E77"/>
    <w:rsid w:val="00CC68FF"/>
    <w:rsid w:val="00CC6E2A"/>
    <w:rsid w:val="00CD23BF"/>
    <w:rsid w:val="00CD2D47"/>
    <w:rsid w:val="00CE0659"/>
    <w:rsid w:val="00CF0ED3"/>
    <w:rsid w:val="00CF512D"/>
    <w:rsid w:val="00D0160A"/>
    <w:rsid w:val="00D01762"/>
    <w:rsid w:val="00D04AD3"/>
    <w:rsid w:val="00D059AC"/>
    <w:rsid w:val="00D0772B"/>
    <w:rsid w:val="00D07D34"/>
    <w:rsid w:val="00D11447"/>
    <w:rsid w:val="00D129DC"/>
    <w:rsid w:val="00D15FF4"/>
    <w:rsid w:val="00D170BA"/>
    <w:rsid w:val="00D304C0"/>
    <w:rsid w:val="00D307B3"/>
    <w:rsid w:val="00D35117"/>
    <w:rsid w:val="00D37283"/>
    <w:rsid w:val="00D40A2D"/>
    <w:rsid w:val="00D43663"/>
    <w:rsid w:val="00D43CCB"/>
    <w:rsid w:val="00D47625"/>
    <w:rsid w:val="00D50B70"/>
    <w:rsid w:val="00D5133B"/>
    <w:rsid w:val="00D525C4"/>
    <w:rsid w:val="00D54EE5"/>
    <w:rsid w:val="00D5697D"/>
    <w:rsid w:val="00D57523"/>
    <w:rsid w:val="00D62E87"/>
    <w:rsid w:val="00D639CA"/>
    <w:rsid w:val="00D63C97"/>
    <w:rsid w:val="00D65312"/>
    <w:rsid w:val="00D656B5"/>
    <w:rsid w:val="00D67949"/>
    <w:rsid w:val="00D70102"/>
    <w:rsid w:val="00D71EE7"/>
    <w:rsid w:val="00D72FF6"/>
    <w:rsid w:val="00D74B6B"/>
    <w:rsid w:val="00D76C31"/>
    <w:rsid w:val="00D821B9"/>
    <w:rsid w:val="00D82349"/>
    <w:rsid w:val="00D835C0"/>
    <w:rsid w:val="00D836F3"/>
    <w:rsid w:val="00D84F39"/>
    <w:rsid w:val="00D8793B"/>
    <w:rsid w:val="00D9021D"/>
    <w:rsid w:val="00D9125B"/>
    <w:rsid w:val="00D95311"/>
    <w:rsid w:val="00D9562D"/>
    <w:rsid w:val="00D95EAF"/>
    <w:rsid w:val="00D96AC3"/>
    <w:rsid w:val="00DA1290"/>
    <w:rsid w:val="00DA3051"/>
    <w:rsid w:val="00DA359D"/>
    <w:rsid w:val="00DA5D4B"/>
    <w:rsid w:val="00DA5FBA"/>
    <w:rsid w:val="00DB2484"/>
    <w:rsid w:val="00DB59B2"/>
    <w:rsid w:val="00DC0290"/>
    <w:rsid w:val="00DC1798"/>
    <w:rsid w:val="00DC51E2"/>
    <w:rsid w:val="00DD06C6"/>
    <w:rsid w:val="00DD0E18"/>
    <w:rsid w:val="00DD2B06"/>
    <w:rsid w:val="00DD437B"/>
    <w:rsid w:val="00DD4777"/>
    <w:rsid w:val="00DD50A1"/>
    <w:rsid w:val="00DD743C"/>
    <w:rsid w:val="00DE2243"/>
    <w:rsid w:val="00DE2359"/>
    <w:rsid w:val="00DE732B"/>
    <w:rsid w:val="00DE7E8E"/>
    <w:rsid w:val="00DF071C"/>
    <w:rsid w:val="00DF3D58"/>
    <w:rsid w:val="00DF4602"/>
    <w:rsid w:val="00DF4830"/>
    <w:rsid w:val="00DF6CFD"/>
    <w:rsid w:val="00E016AE"/>
    <w:rsid w:val="00E02DFB"/>
    <w:rsid w:val="00E05999"/>
    <w:rsid w:val="00E11B5B"/>
    <w:rsid w:val="00E16456"/>
    <w:rsid w:val="00E17655"/>
    <w:rsid w:val="00E325BA"/>
    <w:rsid w:val="00E35273"/>
    <w:rsid w:val="00E365D0"/>
    <w:rsid w:val="00E36A3D"/>
    <w:rsid w:val="00E3760E"/>
    <w:rsid w:val="00E42043"/>
    <w:rsid w:val="00E43ED6"/>
    <w:rsid w:val="00E51759"/>
    <w:rsid w:val="00E54EEC"/>
    <w:rsid w:val="00E6062D"/>
    <w:rsid w:val="00E60B36"/>
    <w:rsid w:val="00E614A7"/>
    <w:rsid w:val="00E63C4E"/>
    <w:rsid w:val="00E6602D"/>
    <w:rsid w:val="00E71E44"/>
    <w:rsid w:val="00E71F5F"/>
    <w:rsid w:val="00E73767"/>
    <w:rsid w:val="00E77EC1"/>
    <w:rsid w:val="00E80393"/>
    <w:rsid w:val="00E8216E"/>
    <w:rsid w:val="00E82531"/>
    <w:rsid w:val="00E82568"/>
    <w:rsid w:val="00E84562"/>
    <w:rsid w:val="00E85728"/>
    <w:rsid w:val="00E85F0F"/>
    <w:rsid w:val="00E87F9A"/>
    <w:rsid w:val="00E94E0F"/>
    <w:rsid w:val="00E95824"/>
    <w:rsid w:val="00EA1BDB"/>
    <w:rsid w:val="00EA2E59"/>
    <w:rsid w:val="00EA5230"/>
    <w:rsid w:val="00EA56E9"/>
    <w:rsid w:val="00EB04AE"/>
    <w:rsid w:val="00EB15F6"/>
    <w:rsid w:val="00EB189B"/>
    <w:rsid w:val="00EB275D"/>
    <w:rsid w:val="00EC0288"/>
    <w:rsid w:val="00EC09A3"/>
    <w:rsid w:val="00EC0F54"/>
    <w:rsid w:val="00EC38D9"/>
    <w:rsid w:val="00EC4EE7"/>
    <w:rsid w:val="00EC5DA6"/>
    <w:rsid w:val="00ED0EBE"/>
    <w:rsid w:val="00ED1D95"/>
    <w:rsid w:val="00ED337A"/>
    <w:rsid w:val="00ED369A"/>
    <w:rsid w:val="00ED4C33"/>
    <w:rsid w:val="00ED6E2A"/>
    <w:rsid w:val="00EE2896"/>
    <w:rsid w:val="00EE518A"/>
    <w:rsid w:val="00EE7706"/>
    <w:rsid w:val="00EF04FA"/>
    <w:rsid w:val="00EF15BB"/>
    <w:rsid w:val="00EF59A4"/>
    <w:rsid w:val="00EF6859"/>
    <w:rsid w:val="00EF7BFA"/>
    <w:rsid w:val="00F00777"/>
    <w:rsid w:val="00F01A4C"/>
    <w:rsid w:val="00F01D80"/>
    <w:rsid w:val="00F03CAB"/>
    <w:rsid w:val="00F04C6D"/>
    <w:rsid w:val="00F06891"/>
    <w:rsid w:val="00F133C9"/>
    <w:rsid w:val="00F31C59"/>
    <w:rsid w:val="00F32A2C"/>
    <w:rsid w:val="00F344EE"/>
    <w:rsid w:val="00F34622"/>
    <w:rsid w:val="00F34AD8"/>
    <w:rsid w:val="00F40747"/>
    <w:rsid w:val="00F42A30"/>
    <w:rsid w:val="00F43FC9"/>
    <w:rsid w:val="00F44999"/>
    <w:rsid w:val="00F463CA"/>
    <w:rsid w:val="00F5298C"/>
    <w:rsid w:val="00F53DE6"/>
    <w:rsid w:val="00F54A4C"/>
    <w:rsid w:val="00F55CE6"/>
    <w:rsid w:val="00F611C4"/>
    <w:rsid w:val="00F63695"/>
    <w:rsid w:val="00F670FB"/>
    <w:rsid w:val="00F71DFE"/>
    <w:rsid w:val="00F72BB0"/>
    <w:rsid w:val="00F7402C"/>
    <w:rsid w:val="00F75CD5"/>
    <w:rsid w:val="00F768A2"/>
    <w:rsid w:val="00F77EBD"/>
    <w:rsid w:val="00F77FB8"/>
    <w:rsid w:val="00F82507"/>
    <w:rsid w:val="00F82E02"/>
    <w:rsid w:val="00F8372D"/>
    <w:rsid w:val="00F84BBB"/>
    <w:rsid w:val="00F94810"/>
    <w:rsid w:val="00FA01BD"/>
    <w:rsid w:val="00FA2285"/>
    <w:rsid w:val="00FB0C8C"/>
    <w:rsid w:val="00FB4520"/>
    <w:rsid w:val="00FB471A"/>
    <w:rsid w:val="00FB47BD"/>
    <w:rsid w:val="00FB48A5"/>
    <w:rsid w:val="00FB7F05"/>
    <w:rsid w:val="00FC1686"/>
    <w:rsid w:val="00FC2C92"/>
    <w:rsid w:val="00FC6510"/>
    <w:rsid w:val="00FD0E2C"/>
    <w:rsid w:val="00FD0FBC"/>
    <w:rsid w:val="00FD1766"/>
    <w:rsid w:val="00FD1FFF"/>
    <w:rsid w:val="00FD4B95"/>
    <w:rsid w:val="00FD634F"/>
    <w:rsid w:val="00FD789F"/>
    <w:rsid w:val="00FE0177"/>
    <w:rsid w:val="00FE05E1"/>
    <w:rsid w:val="00FE10BC"/>
    <w:rsid w:val="00FE294D"/>
    <w:rsid w:val="00FE3AEC"/>
    <w:rsid w:val="00FE471B"/>
    <w:rsid w:val="00FE6124"/>
    <w:rsid w:val="00FF09EC"/>
    <w:rsid w:val="00FF4290"/>
    <w:rsid w:val="00FF5AE5"/>
    <w:rsid w:val="01CE764B"/>
    <w:rsid w:val="02B97884"/>
    <w:rsid w:val="032147CC"/>
    <w:rsid w:val="040026C1"/>
    <w:rsid w:val="0447550D"/>
    <w:rsid w:val="05BC1DCB"/>
    <w:rsid w:val="069114AA"/>
    <w:rsid w:val="079567B9"/>
    <w:rsid w:val="080C1D50"/>
    <w:rsid w:val="0AA129B3"/>
    <w:rsid w:val="0AE94604"/>
    <w:rsid w:val="0C472E34"/>
    <w:rsid w:val="10597D75"/>
    <w:rsid w:val="10FD20D4"/>
    <w:rsid w:val="11325A70"/>
    <w:rsid w:val="15BE4926"/>
    <w:rsid w:val="189E1B1C"/>
    <w:rsid w:val="19091AF2"/>
    <w:rsid w:val="191E76E8"/>
    <w:rsid w:val="192E361A"/>
    <w:rsid w:val="1D6233A5"/>
    <w:rsid w:val="1E03007A"/>
    <w:rsid w:val="1E8604E1"/>
    <w:rsid w:val="1F0B44AF"/>
    <w:rsid w:val="200F7270"/>
    <w:rsid w:val="203A5378"/>
    <w:rsid w:val="212F6DC8"/>
    <w:rsid w:val="225C4D23"/>
    <w:rsid w:val="232E433E"/>
    <w:rsid w:val="248A6C7D"/>
    <w:rsid w:val="24FF0FC4"/>
    <w:rsid w:val="28326AA6"/>
    <w:rsid w:val="29262F45"/>
    <w:rsid w:val="29724362"/>
    <w:rsid w:val="2A4C510C"/>
    <w:rsid w:val="2BF45837"/>
    <w:rsid w:val="2C692B56"/>
    <w:rsid w:val="2C8C13C3"/>
    <w:rsid w:val="2D7921CC"/>
    <w:rsid w:val="2D9B10B6"/>
    <w:rsid w:val="31863225"/>
    <w:rsid w:val="34D914C4"/>
    <w:rsid w:val="35356255"/>
    <w:rsid w:val="355D1513"/>
    <w:rsid w:val="383F71BD"/>
    <w:rsid w:val="3B5B5028"/>
    <w:rsid w:val="3BE30715"/>
    <w:rsid w:val="3E1C1796"/>
    <w:rsid w:val="40FA6070"/>
    <w:rsid w:val="419519D5"/>
    <w:rsid w:val="445B6C3C"/>
    <w:rsid w:val="454F1C67"/>
    <w:rsid w:val="46567917"/>
    <w:rsid w:val="48376AB4"/>
    <w:rsid w:val="48871379"/>
    <w:rsid w:val="48EA7497"/>
    <w:rsid w:val="49697EB4"/>
    <w:rsid w:val="4A2C2648"/>
    <w:rsid w:val="4CFB6EFC"/>
    <w:rsid w:val="4D746602"/>
    <w:rsid w:val="4E6139E7"/>
    <w:rsid w:val="4EED102A"/>
    <w:rsid w:val="4F270A02"/>
    <w:rsid w:val="525C788D"/>
    <w:rsid w:val="525D58CF"/>
    <w:rsid w:val="52620A48"/>
    <w:rsid w:val="52F361D0"/>
    <w:rsid w:val="53D53E5A"/>
    <w:rsid w:val="55A04147"/>
    <w:rsid w:val="572F6D72"/>
    <w:rsid w:val="58072B4C"/>
    <w:rsid w:val="59D838C9"/>
    <w:rsid w:val="5A2C05B1"/>
    <w:rsid w:val="5CB535DE"/>
    <w:rsid w:val="5D844ADD"/>
    <w:rsid w:val="60287EDF"/>
    <w:rsid w:val="604F4CFD"/>
    <w:rsid w:val="606C36F8"/>
    <w:rsid w:val="622B435C"/>
    <w:rsid w:val="63297DF6"/>
    <w:rsid w:val="638766EA"/>
    <w:rsid w:val="63BF7C32"/>
    <w:rsid w:val="63E23320"/>
    <w:rsid w:val="64ED6122"/>
    <w:rsid w:val="668051DB"/>
    <w:rsid w:val="66995649"/>
    <w:rsid w:val="66B418E2"/>
    <w:rsid w:val="67493E46"/>
    <w:rsid w:val="68911766"/>
    <w:rsid w:val="6A692F54"/>
    <w:rsid w:val="6B630449"/>
    <w:rsid w:val="6E063F92"/>
    <w:rsid w:val="6E966200"/>
    <w:rsid w:val="6F767B50"/>
    <w:rsid w:val="6FA23893"/>
    <w:rsid w:val="6FB1710C"/>
    <w:rsid w:val="6FD63154"/>
    <w:rsid w:val="74170726"/>
    <w:rsid w:val="76DE18B3"/>
    <w:rsid w:val="77AB254F"/>
    <w:rsid w:val="7BD51A37"/>
    <w:rsid w:val="7C282815"/>
    <w:rsid w:val="7C9E2D27"/>
    <w:rsid w:val="7CC5572D"/>
    <w:rsid w:val="7EA37338"/>
    <w:rsid w:val="7F3F7150"/>
    <w:rsid w:val="7F713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B0C64E69-5AF8-4175-9C17-B7CA7604D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widowControl w:val="0"/>
      <w:jc w:val="both"/>
    </w:pPr>
    <w:rPr>
      <w:rFonts w:ascii="Calibri" w:hAnsi="Calibri"/>
      <w:kern w:val="2"/>
      <w:sz w:val="21"/>
      <w:szCs w:val="22"/>
    </w:rPr>
  </w:style>
  <w:style w:type="paragraph" w:styleId="1">
    <w:name w:val="heading 1"/>
    <w:basedOn w:val="a4"/>
    <w:next w:val="a4"/>
    <w:link w:val="1Char"/>
    <w:qFormat/>
    <w:locked/>
    <w:pPr>
      <w:keepNext/>
      <w:keepLines/>
      <w:spacing w:before="340" w:after="330" w:line="578" w:lineRule="auto"/>
      <w:outlineLvl w:val="0"/>
    </w:pPr>
    <w:rPr>
      <w:b/>
      <w:bCs/>
      <w:kern w:val="44"/>
      <w:sz w:val="44"/>
      <w:szCs w:val="44"/>
    </w:rPr>
  </w:style>
  <w:style w:type="paragraph" w:styleId="2">
    <w:name w:val="heading 2"/>
    <w:basedOn w:val="a4"/>
    <w:link w:val="2Char"/>
    <w:uiPriority w:val="9"/>
    <w:qFormat/>
    <w:locked/>
    <w:pPr>
      <w:widowControl/>
      <w:spacing w:before="100" w:beforeAutospacing="1" w:after="100" w:afterAutospacing="1"/>
      <w:jc w:val="left"/>
      <w:outlineLvl w:val="1"/>
    </w:pPr>
    <w:rPr>
      <w:rFonts w:ascii="宋体" w:hAnsi="宋体" w:cs="宋体"/>
      <w:b/>
      <w:bCs/>
      <w:kern w:val="0"/>
      <w:sz w:val="36"/>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Body Text"/>
    <w:basedOn w:val="a4"/>
    <w:uiPriority w:val="99"/>
    <w:semiHidden/>
    <w:unhideWhenUsed/>
    <w:qFormat/>
    <w:pPr>
      <w:spacing w:after="120"/>
    </w:pPr>
  </w:style>
  <w:style w:type="paragraph" w:styleId="a9">
    <w:name w:val="Date"/>
    <w:basedOn w:val="a4"/>
    <w:next w:val="a4"/>
    <w:link w:val="Char"/>
    <w:uiPriority w:val="99"/>
    <w:semiHidden/>
    <w:qFormat/>
    <w:pPr>
      <w:ind w:leftChars="2500" w:left="100"/>
    </w:pPr>
  </w:style>
  <w:style w:type="paragraph" w:styleId="aa">
    <w:name w:val="Balloon Text"/>
    <w:basedOn w:val="a4"/>
    <w:link w:val="Char0"/>
    <w:uiPriority w:val="99"/>
    <w:semiHidden/>
    <w:qFormat/>
    <w:rPr>
      <w:kern w:val="0"/>
      <w:sz w:val="18"/>
      <w:szCs w:val="18"/>
    </w:rPr>
  </w:style>
  <w:style w:type="paragraph" w:styleId="ab">
    <w:name w:val="footer"/>
    <w:basedOn w:val="a4"/>
    <w:link w:val="Char1"/>
    <w:uiPriority w:val="99"/>
    <w:qFormat/>
    <w:pPr>
      <w:tabs>
        <w:tab w:val="center" w:pos="4153"/>
        <w:tab w:val="right" w:pos="8306"/>
      </w:tabs>
      <w:snapToGrid w:val="0"/>
      <w:jc w:val="left"/>
    </w:pPr>
    <w:rPr>
      <w:kern w:val="0"/>
      <w:sz w:val="18"/>
      <w:szCs w:val="18"/>
    </w:rPr>
  </w:style>
  <w:style w:type="paragraph" w:styleId="ac">
    <w:name w:val="header"/>
    <w:basedOn w:val="a4"/>
    <w:link w:val="Char2"/>
    <w:uiPriority w:val="99"/>
    <w:qFormat/>
    <w:pPr>
      <w:pBdr>
        <w:bottom w:val="single" w:sz="6" w:space="1" w:color="auto"/>
      </w:pBdr>
      <w:tabs>
        <w:tab w:val="center" w:pos="4153"/>
        <w:tab w:val="right" w:pos="8306"/>
      </w:tabs>
      <w:snapToGrid w:val="0"/>
      <w:jc w:val="center"/>
    </w:pPr>
    <w:rPr>
      <w:kern w:val="0"/>
      <w:sz w:val="18"/>
      <w:szCs w:val="18"/>
    </w:rPr>
  </w:style>
  <w:style w:type="table" w:styleId="ad">
    <w:name w:val="Table Grid"/>
    <w:basedOn w:val="a6"/>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Hyperlink"/>
    <w:basedOn w:val="a5"/>
    <w:uiPriority w:val="99"/>
    <w:semiHidden/>
    <w:unhideWhenUsed/>
    <w:qFormat/>
    <w:rPr>
      <w:color w:val="0000FF"/>
      <w:u w:val="single"/>
    </w:rPr>
  </w:style>
  <w:style w:type="character" w:customStyle="1" w:styleId="Char2">
    <w:name w:val="页眉 Char"/>
    <w:link w:val="ac"/>
    <w:uiPriority w:val="99"/>
    <w:qFormat/>
    <w:locked/>
    <w:rPr>
      <w:sz w:val="18"/>
    </w:rPr>
  </w:style>
  <w:style w:type="character" w:customStyle="1" w:styleId="Char1">
    <w:name w:val="页脚 Char"/>
    <w:link w:val="ab"/>
    <w:uiPriority w:val="99"/>
    <w:qFormat/>
    <w:locked/>
    <w:rPr>
      <w:sz w:val="18"/>
    </w:rPr>
  </w:style>
  <w:style w:type="paragraph" w:styleId="af">
    <w:name w:val="List Paragraph"/>
    <w:basedOn w:val="a4"/>
    <w:uiPriority w:val="99"/>
    <w:qFormat/>
    <w:pPr>
      <w:ind w:firstLineChars="200" w:firstLine="420"/>
    </w:pPr>
  </w:style>
  <w:style w:type="paragraph" w:customStyle="1" w:styleId="af0">
    <w:name w:val="段"/>
    <w:link w:val="Char3"/>
    <w:uiPriority w:val="99"/>
    <w:qFormat/>
    <w:pPr>
      <w:tabs>
        <w:tab w:val="center" w:pos="4201"/>
        <w:tab w:val="right" w:leader="dot" w:pos="9298"/>
      </w:tabs>
      <w:autoSpaceDE w:val="0"/>
      <w:autoSpaceDN w:val="0"/>
      <w:ind w:firstLineChars="200" w:firstLine="420"/>
      <w:jc w:val="both"/>
    </w:pPr>
    <w:rPr>
      <w:rFonts w:ascii="宋体"/>
      <w:sz w:val="21"/>
    </w:rPr>
  </w:style>
  <w:style w:type="character" w:customStyle="1" w:styleId="Char3">
    <w:name w:val="段 Char"/>
    <w:link w:val="af0"/>
    <w:uiPriority w:val="99"/>
    <w:qFormat/>
    <w:locked/>
    <w:rPr>
      <w:rFonts w:ascii="宋体" w:hAnsi="Times New Roman"/>
      <w:sz w:val="21"/>
      <w:lang w:val="en-US" w:eastAsia="zh-CN"/>
    </w:rPr>
  </w:style>
  <w:style w:type="paragraph" w:customStyle="1" w:styleId="a0">
    <w:name w:val="一级条标题"/>
    <w:next w:val="af0"/>
    <w:uiPriority w:val="99"/>
    <w:qFormat/>
    <w:pPr>
      <w:numPr>
        <w:ilvl w:val="1"/>
        <w:numId w:val="1"/>
      </w:numPr>
      <w:spacing w:beforeLines="50" w:afterLines="50"/>
      <w:outlineLvl w:val="2"/>
    </w:pPr>
    <w:rPr>
      <w:rFonts w:ascii="黑体" w:eastAsia="黑体"/>
      <w:sz w:val="21"/>
      <w:szCs w:val="21"/>
    </w:rPr>
  </w:style>
  <w:style w:type="paragraph" w:customStyle="1" w:styleId="a">
    <w:name w:val="章标题"/>
    <w:next w:val="af0"/>
    <w:uiPriority w:val="99"/>
    <w:qFormat/>
    <w:pPr>
      <w:numPr>
        <w:numId w:val="1"/>
      </w:numPr>
      <w:spacing w:beforeLines="100" w:afterLines="100"/>
      <w:jc w:val="both"/>
      <w:outlineLvl w:val="1"/>
    </w:pPr>
    <w:rPr>
      <w:rFonts w:ascii="黑体" w:eastAsia="黑体"/>
      <w:sz w:val="21"/>
    </w:rPr>
  </w:style>
  <w:style w:type="paragraph" w:customStyle="1" w:styleId="a1">
    <w:name w:val="二级条标题"/>
    <w:basedOn w:val="a0"/>
    <w:next w:val="af0"/>
    <w:uiPriority w:val="99"/>
    <w:qFormat/>
    <w:pPr>
      <w:numPr>
        <w:ilvl w:val="2"/>
      </w:numPr>
      <w:spacing w:before="50" w:after="50"/>
      <w:outlineLvl w:val="3"/>
    </w:pPr>
  </w:style>
  <w:style w:type="paragraph" w:customStyle="1" w:styleId="a2">
    <w:name w:val="四级条标题"/>
    <w:basedOn w:val="a4"/>
    <w:next w:val="af0"/>
    <w:uiPriority w:val="99"/>
    <w:qFormat/>
    <w:pPr>
      <w:widowControl/>
      <w:numPr>
        <w:ilvl w:val="4"/>
        <w:numId w:val="1"/>
      </w:numPr>
      <w:spacing w:beforeLines="50" w:afterLines="50"/>
      <w:jc w:val="left"/>
      <w:outlineLvl w:val="5"/>
    </w:pPr>
    <w:rPr>
      <w:rFonts w:ascii="黑体" w:eastAsia="黑体" w:hAnsi="Times New Roman"/>
      <w:kern w:val="0"/>
      <w:szCs w:val="21"/>
    </w:rPr>
  </w:style>
  <w:style w:type="paragraph" w:customStyle="1" w:styleId="a3">
    <w:name w:val="五级条标题"/>
    <w:basedOn w:val="a2"/>
    <w:next w:val="af0"/>
    <w:uiPriority w:val="99"/>
    <w:qFormat/>
    <w:pPr>
      <w:numPr>
        <w:ilvl w:val="5"/>
      </w:numPr>
      <w:outlineLvl w:val="6"/>
    </w:pPr>
  </w:style>
  <w:style w:type="character" w:customStyle="1" w:styleId="Char0">
    <w:name w:val="批注框文本 Char"/>
    <w:link w:val="aa"/>
    <w:uiPriority w:val="99"/>
    <w:semiHidden/>
    <w:qFormat/>
    <w:locked/>
    <w:rPr>
      <w:sz w:val="18"/>
    </w:rPr>
  </w:style>
  <w:style w:type="character" w:customStyle="1" w:styleId="Char">
    <w:name w:val="日期 Char"/>
    <w:link w:val="a9"/>
    <w:uiPriority w:val="99"/>
    <w:semiHidden/>
    <w:qFormat/>
    <w:locked/>
    <w:rPr>
      <w:rFonts w:cs="Times New Roman"/>
    </w:rPr>
  </w:style>
  <w:style w:type="character" w:customStyle="1" w:styleId="2Char">
    <w:name w:val="标题 2 Char"/>
    <w:basedOn w:val="a5"/>
    <w:link w:val="2"/>
    <w:uiPriority w:val="9"/>
    <w:qFormat/>
    <w:rPr>
      <w:rFonts w:ascii="宋体" w:hAnsi="宋体" w:cs="宋体"/>
      <w:b/>
      <w:bCs/>
      <w:sz w:val="36"/>
      <w:szCs w:val="36"/>
    </w:rPr>
  </w:style>
  <w:style w:type="character" w:customStyle="1" w:styleId="1Char">
    <w:name w:val="标题 1 Char"/>
    <w:basedOn w:val="a5"/>
    <w:link w:val="1"/>
    <w:qFormat/>
    <w:rPr>
      <w:b/>
      <w:bCs/>
      <w:kern w:val="44"/>
      <w:sz w:val="44"/>
      <w:szCs w:val="44"/>
    </w:rPr>
  </w:style>
  <w:style w:type="paragraph" w:customStyle="1" w:styleId="af1">
    <w:name w:val="标准文件_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chart" Target="charts/chart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D:\1&#24037;&#20316;\A&#24037;&#20316;&#27719;&#24635;\A&#26631;&#20934;&#21270;\2025\&#26524;&#34092;&#27927;&#28068;&#30416;\1&#26524;&#34092;&#27927;&#28068;&#30416;20250722\&#21508;&#21442;&#25968;&#36873;&#25321;&#22522;&#30784;&#25968;&#2545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24037;&#20316;\A&#24037;&#20316;&#27719;&#24635;\A&#26631;&#20934;&#21270;\2025\&#26524;&#34092;&#27927;&#28068;&#30416;\1&#26524;&#34092;&#27927;&#28068;&#30416;20250722\&#21508;&#21442;&#25968;&#36873;&#25321;&#22522;&#30784;&#25968;&#2545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D:\1&#24037;&#20316;\A&#24037;&#20316;&#27719;&#24635;\A&#26631;&#20934;&#21270;\2025\&#26524;&#34092;&#27927;&#28068;&#30416;\1&#26524;&#34092;&#27927;&#28068;&#30416;20250722\&#21508;&#21442;&#25968;&#36873;&#25321;&#22522;&#30784;&#25968;&#25454;.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D:\1&#24037;&#20316;\A&#24037;&#20316;&#27719;&#24635;\A&#26631;&#20934;&#21270;\2025\&#26524;&#34092;&#27927;&#28068;&#30416;\1&#26524;&#34092;&#27927;&#28068;&#30416;20250722\&#21508;&#21442;&#25968;&#36873;&#25321;&#22522;&#30784;&#25968;&#25454;.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9.9729276782261206E-2"/>
          <c:y val="5.0925925925925902E-2"/>
          <c:w val="0.86978213226762902"/>
          <c:h val="0.81050925925925899"/>
        </c:manualLayout>
      </c:layout>
      <c:scatterChart>
        <c:scatterStyle val="lineMarker"/>
        <c:varyColors val="0"/>
        <c:ser>
          <c:idx val="0"/>
          <c:order val="0"/>
          <c:spPr>
            <a:ln w="19050" cap="rnd">
              <a:noFill/>
              <a:round/>
            </a:ln>
            <a:effectLst/>
          </c:spPr>
          <c:marker>
            <c:symbol val="circle"/>
            <c:size val="5"/>
            <c:spPr>
              <a:solidFill>
                <a:schemeClr val="dk1">
                  <a:tint val="88500"/>
                </a:schemeClr>
              </a:solidFill>
              <a:ln w="9525">
                <a:solidFill>
                  <a:schemeClr val="dk1">
                    <a:tint val="88500"/>
                  </a:schemeClr>
                </a:solidFill>
              </a:ln>
              <a:effectLst/>
            </c:spPr>
          </c:marker>
          <c:yVal>
            <c:numRef>
              <c:f>[各参数选择基础数据.xlsx]氯化钠!$H$2:$H$99</c:f>
              <c:numCache>
                <c:formatCode>0.000_ </c:formatCode>
                <c:ptCount val="98"/>
                <c:pt idx="0">
                  <c:v>60.058152</c:v>
                </c:pt>
                <c:pt idx="1">
                  <c:v>81.435900000000004</c:v>
                </c:pt>
                <c:pt idx="2">
                  <c:v>82.715136000000001</c:v>
                </c:pt>
                <c:pt idx="3">
                  <c:v>99.307288499999999</c:v>
                </c:pt>
                <c:pt idx="4">
                  <c:v>80.237440500000005</c:v>
                </c:pt>
                <c:pt idx="5">
                  <c:v>98.440177500000004</c:v>
                </c:pt>
                <c:pt idx="6">
                  <c:v>79.508803499999999</c:v>
                </c:pt>
                <c:pt idx="7">
                  <c:v>99.455653499999997</c:v>
                </c:pt>
                <c:pt idx="8">
                  <c:v>99.312234000000004</c:v>
                </c:pt>
                <c:pt idx="9">
                  <c:v>80.084130000000002</c:v>
                </c:pt>
                <c:pt idx="10">
                  <c:v>98.539087499999994</c:v>
                </c:pt>
                <c:pt idx="11">
                  <c:v>48.8631885</c:v>
                </c:pt>
                <c:pt idx="12">
                  <c:v>90.078985500000002</c:v>
                </c:pt>
                <c:pt idx="13">
                  <c:v>52.836073499999998</c:v>
                </c:pt>
                <c:pt idx="14">
                  <c:v>74.771014500000007</c:v>
                </c:pt>
                <c:pt idx="15">
                  <c:v>73.153835999999998</c:v>
                </c:pt>
                <c:pt idx="16">
                  <c:v>44.776556999999997</c:v>
                </c:pt>
                <c:pt idx="17">
                  <c:v>99.627097500000005</c:v>
                </c:pt>
                <c:pt idx="18">
                  <c:v>89.942160000000001</c:v>
                </c:pt>
                <c:pt idx="19">
                  <c:v>40.459135500000002</c:v>
                </c:pt>
                <c:pt idx="20">
                  <c:v>81.125981999999993</c:v>
                </c:pt>
                <c:pt idx="21">
                  <c:v>99.169144200000005</c:v>
                </c:pt>
                <c:pt idx="22">
                  <c:v>98.552770050000007</c:v>
                </c:pt>
                <c:pt idx="23">
                  <c:v>93.305099999999996</c:v>
                </c:pt>
                <c:pt idx="24">
                  <c:v>85.535884350000003</c:v>
                </c:pt>
                <c:pt idx="25">
                  <c:v>95.283299999999997</c:v>
                </c:pt>
                <c:pt idx="26">
                  <c:v>65.771028749999999</c:v>
                </c:pt>
                <c:pt idx="27">
                  <c:v>58.238702549999999</c:v>
                </c:pt>
                <c:pt idx="28">
                  <c:v>77.356192199999995</c:v>
                </c:pt>
                <c:pt idx="29">
                  <c:v>60.120795000000001</c:v>
                </c:pt>
                <c:pt idx="30">
                  <c:v>63.07161</c:v>
                </c:pt>
                <c:pt idx="31">
                  <c:v>62.066025000000003</c:v>
                </c:pt>
                <c:pt idx="32">
                  <c:v>46.254107550000001</c:v>
                </c:pt>
                <c:pt idx="33">
                  <c:v>57.466709999999999</c:v>
                </c:pt>
                <c:pt idx="34">
                  <c:v>58.45581</c:v>
                </c:pt>
                <c:pt idx="35">
                  <c:v>62.461665000000004</c:v>
                </c:pt>
                <c:pt idx="36">
                  <c:v>94.434487349999998</c:v>
                </c:pt>
                <c:pt idx="37">
                  <c:v>58.857879150000002</c:v>
                </c:pt>
                <c:pt idx="38">
                  <c:v>60.636775499999999</c:v>
                </c:pt>
                <c:pt idx="39">
                  <c:v>96.786567149999996</c:v>
                </c:pt>
                <c:pt idx="40">
                  <c:v>80.7755109</c:v>
                </c:pt>
                <c:pt idx="41">
                  <c:v>98.851643100000004</c:v>
                </c:pt>
                <c:pt idx="42">
                  <c:v>98.547165149999998</c:v>
                </c:pt>
                <c:pt idx="43">
                  <c:v>62.814444000000002</c:v>
                </c:pt>
                <c:pt idx="44">
                  <c:v>62.740756050000002</c:v>
                </c:pt>
                <c:pt idx="45">
                  <c:v>93.964500000000001</c:v>
                </c:pt>
                <c:pt idx="46">
                  <c:v>89.602569000000003</c:v>
                </c:pt>
                <c:pt idx="47">
                  <c:v>64.518992999999995</c:v>
                </c:pt>
                <c:pt idx="48">
                  <c:v>86.216549999999998</c:v>
                </c:pt>
                <c:pt idx="49">
                  <c:v>59.824064999999997</c:v>
                </c:pt>
                <c:pt idx="50">
                  <c:v>77.693310449999998</c:v>
                </c:pt>
                <c:pt idx="51">
                  <c:v>81.557889000000003</c:v>
                </c:pt>
                <c:pt idx="52">
                  <c:v>99.336961500000001</c:v>
                </c:pt>
                <c:pt idx="53">
                  <c:v>77.092102499999996</c:v>
                </c:pt>
                <c:pt idx="54">
                  <c:v>87.865049999999997</c:v>
                </c:pt>
                <c:pt idx="55">
                  <c:v>98.694046499999999</c:v>
                </c:pt>
                <c:pt idx="56">
                  <c:v>59.810876999999998</c:v>
                </c:pt>
                <c:pt idx="57">
                  <c:v>99.312234000000004</c:v>
                </c:pt>
                <c:pt idx="58">
                  <c:v>78.577400999999995</c:v>
                </c:pt>
                <c:pt idx="59">
                  <c:v>93.305099999999996</c:v>
                </c:pt>
                <c:pt idx="60">
                  <c:v>81.149061000000003</c:v>
                </c:pt>
                <c:pt idx="61">
                  <c:v>81.389741999999998</c:v>
                </c:pt>
                <c:pt idx="62">
                  <c:v>50.345190000000002</c:v>
                </c:pt>
                <c:pt idx="63">
                  <c:v>79.114812000000001</c:v>
                </c:pt>
                <c:pt idx="64">
                  <c:v>59.240496</c:v>
                </c:pt>
                <c:pt idx="65">
                  <c:v>61.540153500000002</c:v>
                </c:pt>
                <c:pt idx="66">
                  <c:v>98.575354500000003</c:v>
                </c:pt>
                <c:pt idx="67">
                  <c:v>20.085324</c:v>
                </c:pt>
                <c:pt idx="68">
                  <c:v>85.721999999999994</c:v>
                </c:pt>
                <c:pt idx="69">
                  <c:v>30.650560500000001</c:v>
                </c:pt>
                <c:pt idx="70">
                  <c:v>19.782</c:v>
                </c:pt>
                <c:pt idx="71">
                  <c:v>78.865888499999997</c:v>
                </c:pt>
                <c:pt idx="72">
                  <c:v>81.467221499999994</c:v>
                </c:pt>
                <c:pt idx="73">
                  <c:v>61.128028499999999</c:v>
                </c:pt>
                <c:pt idx="74">
                  <c:v>92.807417849999993</c:v>
                </c:pt>
                <c:pt idx="75">
                  <c:v>94.559938200000005</c:v>
                </c:pt>
                <c:pt idx="76">
                  <c:v>41.248767000000001</c:v>
                </c:pt>
                <c:pt idx="77">
                  <c:v>57.300211500000003</c:v>
                </c:pt>
                <c:pt idx="78">
                  <c:v>62.1702102</c:v>
                </c:pt>
                <c:pt idx="79">
                  <c:v>60.800471549999997</c:v>
                </c:pt>
                <c:pt idx="80">
                  <c:v>59.713450649999999</c:v>
                </c:pt>
                <c:pt idx="81">
                  <c:v>40.838125650000002</c:v>
                </c:pt>
                <c:pt idx="82">
                  <c:v>99.117051599999996</c:v>
                </c:pt>
                <c:pt idx="83">
                  <c:v>84.568049999999999</c:v>
                </c:pt>
                <c:pt idx="84">
                  <c:v>94.424926049999996</c:v>
                </c:pt>
                <c:pt idx="85">
                  <c:v>99.671771849999999</c:v>
                </c:pt>
                <c:pt idx="86">
                  <c:v>92.739829349999994</c:v>
                </c:pt>
                <c:pt idx="87">
                  <c:v>94.8576573</c:v>
                </c:pt>
                <c:pt idx="88">
                  <c:v>96.895533</c:v>
                </c:pt>
                <c:pt idx="89">
                  <c:v>62.408912999999998</c:v>
                </c:pt>
                <c:pt idx="90">
                  <c:v>94.346787149999997</c:v>
                </c:pt>
                <c:pt idx="91">
                  <c:v>61.257765450000001</c:v>
                </c:pt>
                <c:pt idx="92">
                  <c:v>40.937200500000003</c:v>
                </c:pt>
                <c:pt idx="93">
                  <c:v>99.145570649999996</c:v>
                </c:pt>
                <c:pt idx="94">
                  <c:v>73.317696900000001</c:v>
                </c:pt>
                <c:pt idx="95">
                  <c:v>97.185174450000005</c:v>
                </c:pt>
                <c:pt idx="96">
                  <c:v>61.396898849999999</c:v>
                </c:pt>
                <c:pt idx="97">
                  <c:v>95.777850000000001</c:v>
                </c:pt>
              </c:numCache>
            </c:numRef>
          </c:yVal>
          <c:smooth val="0"/>
        </c:ser>
        <c:dLbls>
          <c:showLegendKey val="0"/>
          <c:showVal val="0"/>
          <c:showCatName val="0"/>
          <c:showSerName val="0"/>
          <c:showPercent val="0"/>
          <c:showBubbleSize val="0"/>
        </c:dLbls>
        <c:axId val="580475496"/>
        <c:axId val="580475104"/>
      </c:scatterChart>
      <c:valAx>
        <c:axId val="580475496"/>
        <c:scaling>
          <c:orientation val="minMax"/>
          <c:max val="100"/>
        </c:scaling>
        <c:delete val="0"/>
        <c:axPos val="b"/>
        <c:majorGridlines>
          <c:spPr>
            <a:ln w="9525" cap="flat" cmpd="sng" algn="ctr">
              <a:solidFill>
                <a:schemeClr val="lt1">
                  <a:lumMod val="902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样品</a:t>
                </a:r>
              </a:p>
            </c:rich>
          </c:tx>
          <c:layout>
            <c:manualLayout>
              <c:xMode val="edge"/>
              <c:yMode val="edge"/>
              <c:x val="0.48764645294193398"/>
              <c:y val="0.87893518518518499"/>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80475104"/>
        <c:crosses val="autoZero"/>
        <c:crossBetween val="midCat"/>
      </c:valAx>
      <c:valAx>
        <c:axId val="580475104"/>
        <c:scaling>
          <c:orientation val="minMax"/>
          <c:max val="110"/>
          <c:min val="20"/>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氯化钠含量（</a:t>
                </a:r>
                <a:r>
                  <a:rPr lang="en-US" altLang="zh-CN"/>
                  <a:t>g/00g</a:t>
                </a:r>
                <a:r>
                  <a:rPr lang="en-US"/>
                  <a:t>）</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_);[Red]\(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80475496"/>
        <c:crosses val="autoZero"/>
        <c:crossBetween val="midCat"/>
      </c:valAx>
      <c:spPr>
        <a:noFill/>
        <a:ln w="9525" cap="flat" cmpd="sng" algn="ctr">
          <a:solidFill>
            <a:schemeClr val="tx1">
              <a:lumMod val="15000"/>
              <a:lumOff val="85000"/>
            </a:schemeClr>
          </a:solidFill>
          <a:round/>
        </a:ln>
        <a:effectLst/>
      </c:spPr>
    </c:plotArea>
    <c:plotVisOnly val="1"/>
    <c:dispBlanksAs val="gap"/>
    <c:showDLblsOverMax val="0"/>
    <c:extLst>
      <c:ext uri="{0b15fc19-7d7d-44ad-8c2d-2c3a37ce22c3}">
        <chartProps xmlns="https://web.wps.cn/et/2018/main" chartId="{d5e98ef8-1827-4646-9ed2-142167b40406}"/>
      </c:ext>
    </c:extLst>
  </c:chart>
  <c:spPr>
    <a:solidFill>
      <a:schemeClr val="bg1"/>
    </a:solidFill>
    <a:ln w="9525" cap="flat" cmpd="sng" algn="ctr">
      <a:solidFill>
        <a:schemeClr val="tx1">
          <a:lumMod val="15000"/>
          <a:lumOff val="85000"/>
        </a:schemeClr>
      </a:solidFill>
      <a:round/>
    </a:ln>
    <a:effectLst/>
  </c:spPr>
  <c:txPr>
    <a:bodyPr anchor="b" anchorCtr="1"/>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10605263157895"/>
          <c:y val="5.6250000000000001E-2"/>
          <c:w val="0.86044736842105296"/>
          <c:h val="0.80101851851851902"/>
        </c:manualLayout>
      </c:layout>
      <c:scatterChart>
        <c:scatterStyle val="lineMarker"/>
        <c:varyColors val="0"/>
        <c:ser>
          <c:idx val="0"/>
          <c:order val="0"/>
          <c:spPr>
            <a:ln w="19050" cap="rnd">
              <a:noFill/>
              <a:round/>
            </a:ln>
            <a:effectLst/>
          </c:spPr>
          <c:marker>
            <c:symbol val="circle"/>
            <c:size val="5"/>
            <c:spPr>
              <a:solidFill>
                <a:schemeClr val="dk1">
                  <a:tint val="88500"/>
                </a:schemeClr>
              </a:solidFill>
              <a:ln w="9525">
                <a:solidFill>
                  <a:schemeClr val="dk1">
                    <a:tint val="88500"/>
                  </a:schemeClr>
                </a:solidFill>
              </a:ln>
              <a:effectLst/>
            </c:spPr>
          </c:marker>
          <c:yVal>
            <c:numRef>
              <c:f>[各参数选择基础数据.xlsx]水不溶物!$F$2:$F$56</c:f>
              <c:numCache>
                <c:formatCode>General</c:formatCode>
                <c:ptCount val="55"/>
                <c:pt idx="0">
                  <c:v>5.5E-2</c:v>
                </c:pt>
                <c:pt idx="1">
                  <c:v>1.4E-2</c:v>
                </c:pt>
                <c:pt idx="2">
                  <c:v>0.122</c:v>
                </c:pt>
                <c:pt idx="3">
                  <c:v>0.01</c:v>
                </c:pt>
                <c:pt idx="4">
                  <c:v>4.0000000000000001E-3</c:v>
                </c:pt>
                <c:pt idx="5">
                  <c:v>8.0000000000000002E-3</c:v>
                </c:pt>
                <c:pt idx="6">
                  <c:v>8.9999999999999993E-3</c:v>
                </c:pt>
                <c:pt idx="7">
                  <c:v>0.02</c:v>
                </c:pt>
                <c:pt idx="8">
                  <c:v>2.4E-2</c:v>
                </c:pt>
                <c:pt idx="9">
                  <c:v>2.1999999999999999E-2</c:v>
                </c:pt>
                <c:pt idx="10">
                  <c:v>0</c:v>
                </c:pt>
                <c:pt idx="11">
                  <c:v>7.3999999999999996E-2</c:v>
                </c:pt>
                <c:pt idx="12">
                  <c:v>0</c:v>
                </c:pt>
                <c:pt idx="13">
                  <c:v>7.0000000000000007E-2</c:v>
                </c:pt>
                <c:pt idx="14">
                  <c:v>0</c:v>
                </c:pt>
                <c:pt idx="15">
                  <c:v>0</c:v>
                </c:pt>
                <c:pt idx="16">
                  <c:v>0</c:v>
                </c:pt>
                <c:pt idx="17">
                  <c:v>0</c:v>
                </c:pt>
                <c:pt idx="18">
                  <c:v>0.3</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0.01</c:v>
                </c:pt>
                <c:pt idx="39">
                  <c:v>0</c:v>
                </c:pt>
                <c:pt idx="40">
                  <c:v>0</c:v>
                </c:pt>
                <c:pt idx="41">
                  <c:v>0</c:v>
                </c:pt>
                <c:pt idx="42">
                  <c:v>0</c:v>
                </c:pt>
                <c:pt idx="43">
                  <c:v>0</c:v>
                </c:pt>
                <c:pt idx="44">
                  <c:v>4.9099999999999998E-2</c:v>
                </c:pt>
                <c:pt idx="45">
                  <c:v>0</c:v>
                </c:pt>
                <c:pt idx="46">
                  <c:v>0.1</c:v>
                </c:pt>
                <c:pt idx="47">
                  <c:v>0.15</c:v>
                </c:pt>
                <c:pt idx="48">
                  <c:v>0</c:v>
                </c:pt>
                <c:pt idx="49">
                  <c:v>0.03</c:v>
                </c:pt>
                <c:pt idx="50">
                  <c:v>0.1615</c:v>
                </c:pt>
                <c:pt idx="51">
                  <c:v>0</c:v>
                </c:pt>
                <c:pt idx="52">
                  <c:v>0.01</c:v>
                </c:pt>
                <c:pt idx="53">
                  <c:v>0.08</c:v>
                </c:pt>
                <c:pt idx="54">
                  <c:v>0</c:v>
                </c:pt>
              </c:numCache>
            </c:numRef>
          </c:yVal>
          <c:smooth val="0"/>
        </c:ser>
        <c:dLbls>
          <c:showLegendKey val="0"/>
          <c:showVal val="0"/>
          <c:showCatName val="0"/>
          <c:showSerName val="0"/>
          <c:showPercent val="0"/>
          <c:showBubbleSize val="0"/>
        </c:dLbls>
        <c:axId val="580469616"/>
        <c:axId val="580470008"/>
      </c:scatterChart>
      <c:valAx>
        <c:axId val="580469616"/>
        <c:scaling>
          <c:orientation val="minMax"/>
        </c:scaling>
        <c:delete val="0"/>
        <c:axPos val="b"/>
        <c:majorGridlines>
          <c:spPr>
            <a:ln w="9525" cap="flat" cmpd="sng" algn="ctr">
              <a:solidFill>
                <a:schemeClr val="lt1">
                  <a:lumMod val="902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样品</a:t>
                </a:r>
              </a:p>
            </c:rich>
          </c:tx>
          <c:layout>
            <c:manualLayout>
              <c:xMode val="edge"/>
              <c:yMode val="edge"/>
              <c:x val="0.51135526315789503"/>
              <c:y val="0.92037037037036995"/>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80470008"/>
        <c:crosses val="autoZero"/>
        <c:crossBetween val="midCat"/>
      </c:valAx>
      <c:valAx>
        <c:axId val="580470008"/>
        <c:scaling>
          <c:orientation val="minMax"/>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水不溶物（</a:t>
                </a:r>
                <a:r>
                  <a:rPr lang="en-US" altLang="zh-CN"/>
                  <a:t>g/00g</a:t>
                </a:r>
                <a:r>
                  <a:rPr lang="en-US" altLang="en-US"/>
                  <a:t>）</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80469616"/>
        <c:crosses val="autoZero"/>
        <c:crossBetween val="midCat"/>
      </c:valAx>
      <c:spPr>
        <a:noFill/>
        <a:ln w="9525" cap="flat" cmpd="sng" algn="ctr">
          <a:solidFill>
            <a:schemeClr val="tx1">
              <a:lumMod val="15000"/>
              <a:lumOff val="85000"/>
            </a:schemeClr>
          </a:solidFill>
          <a:round/>
        </a:ln>
        <a:effectLst/>
      </c:spPr>
    </c:plotArea>
    <c:plotVisOnly val="1"/>
    <c:dispBlanksAs val="gap"/>
    <c:showDLblsOverMax val="0"/>
    <c:extLst>
      <c:ext uri="{0b15fc19-7d7d-44ad-8c2d-2c3a37ce22c3}">
        <chartProps xmlns="https://web.wps.cn/et/2018/main" chartId="{1d57c9e4-ee0e-4bab-9317-dd2ea7e160c4}"/>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endParaRPr lang="zh-CN" altLang="en-US"/>
          </a:p>
        </c:rich>
      </c:tx>
      <c:layout>
        <c:manualLayout>
          <c:xMode val="edge"/>
          <c:yMode val="edge"/>
          <c:x val="0.33084358523725799"/>
          <c:y val="2.69257785062046E-2"/>
        </c:manualLayout>
      </c:layout>
      <c:overlay val="0"/>
      <c:spPr>
        <a:noFill/>
        <a:ln>
          <a:noFill/>
        </a:ln>
        <a:effectLst/>
      </c:spPr>
    </c:title>
    <c:autoTitleDeleted val="0"/>
    <c:plotArea>
      <c:layout>
        <c:manualLayout>
          <c:layoutTarget val="inner"/>
          <c:xMode val="edge"/>
          <c:yMode val="edge"/>
          <c:x val="8.4935977906100898E-2"/>
          <c:y val="8.6056373160389096E-2"/>
          <c:w val="0.88807431584232999"/>
          <c:h val="0.754153155400349"/>
        </c:manualLayout>
      </c:layout>
      <c:scatterChart>
        <c:scatterStyle val="lineMarker"/>
        <c:varyColors val="0"/>
        <c:ser>
          <c:idx val="0"/>
          <c:order val="0"/>
          <c:spPr>
            <a:ln w="19050" cap="rnd" cmpd="sng" algn="ctr">
              <a:noFill/>
              <a:prstDash val="solid"/>
              <a:round/>
            </a:ln>
            <a:effectLst/>
          </c:spPr>
          <c:marker>
            <c:symbol val="circle"/>
            <c:size val="5"/>
            <c:spPr>
              <a:solidFill>
                <a:schemeClr val="dk1">
                  <a:tint val="88500"/>
                </a:schemeClr>
              </a:solidFill>
              <a:ln w="9525" cap="flat" cmpd="sng" algn="ctr">
                <a:solidFill>
                  <a:schemeClr val="dk1">
                    <a:tint val="88500"/>
                  </a:schemeClr>
                </a:solidFill>
                <a:prstDash val="solid"/>
                <a:round/>
              </a:ln>
              <a:effectLst/>
            </c:spPr>
          </c:marker>
          <c:yVal>
            <c:numRef>
              <c:f>[各参数选择基础数据.xlsx]pH!$F$2:$F$73</c:f>
              <c:numCache>
                <c:formatCode>General</c:formatCode>
                <c:ptCount val="72"/>
                <c:pt idx="0">
                  <c:v>9.9</c:v>
                </c:pt>
                <c:pt idx="1">
                  <c:v>9.8800000000000008</c:v>
                </c:pt>
                <c:pt idx="2">
                  <c:v>6.17</c:v>
                </c:pt>
                <c:pt idx="3">
                  <c:v>9.89</c:v>
                </c:pt>
                <c:pt idx="4">
                  <c:v>9.9499999999999993</c:v>
                </c:pt>
                <c:pt idx="5">
                  <c:v>6.79</c:v>
                </c:pt>
                <c:pt idx="6">
                  <c:v>9.92</c:v>
                </c:pt>
                <c:pt idx="7">
                  <c:v>9.82</c:v>
                </c:pt>
                <c:pt idx="8">
                  <c:v>9.98</c:v>
                </c:pt>
                <c:pt idx="9">
                  <c:v>7.55</c:v>
                </c:pt>
                <c:pt idx="10">
                  <c:v>9.84</c:v>
                </c:pt>
                <c:pt idx="11">
                  <c:v>9.81</c:v>
                </c:pt>
                <c:pt idx="12">
                  <c:v>9.82</c:v>
                </c:pt>
                <c:pt idx="13">
                  <c:v>9.82</c:v>
                </c:pt>
                <c:pt idx="14">
                  <c:v>8.3000000000000007</c:v>
                </c:pt>
                <c:pt idx="15">
                  <c:v>9.52</c:v>
                </c:pt>
                <c:pt idx="16">
                  <c:v>9.8000000000000007</c:v>
                </c:pt>
                <c:pt idx="17">
                  <c:v>8.4</c:v>
                </c:pt>
                <c:pt idx="18">
                  <c:v>8.9</c:v>
                </c:pt>
                <c:pt idx="19">
                  <c:v>10.199999999999999</c:v>
                </c:pt>
                <c:pt idx="20">
                  <c:v>10.199999999999999</c:v>
                </c:pt>
                <c:pt idx="21">
                  <c:v>11.1</c:v>
                </c:pt>
                <c:pt idx="22">
                  <c:v>9.8000000000000007</c:v>
                </c:pt>
                <c:pt idx="23">
                  <c:v>7.4</c:v>
                </c:pt>
                <c:pt idx="24">
                  <c:v>9.5</c:v>
                </c:pt>
                <c:pt idx="25">
                  <c:v>10</c:v>
                </c:pt>
                <c:pt idx="26">
                  <c:v>10.199999999999999</c:v>
                </c:pt>
                <c:pt idx="27">
                  <c:v>9.8000000000000007</c:v>
                </c:pt>
                <c:pt idx="28">
                  <c:v>9</c:v>
                </c:pt>
                <c:pt idx="29">
                  <c:v>7.4</c:v>
                </c:pt>
                <c:pt idx="30">
                  <c:v>10</c:v>
                </c:pt>
                <c:pt idx="31">
                  <c:v>9.1999999999999993</c:v>
                </c:pt>
                <c:pt idx="32">
                  <c:v>10</c:v>
                </c:pt>
                <c:pt idx="33">
                  <c:v>10</c:v>
                </c:pt>
                <c:pt idx="34">
                  <c:v>10</c:v>
                </c:pt>
                <c:pt idx="35">
                  <c:v>9.4</c:v>
                </c:pt>
                <c:pt idx="36">
                  <c:v>9.3000000000000007</c:v>
                </c:pt>
                <c:pt idx="37">
                  <c:v>6.2</c:v>
                </c:pt>
                <c:pt idx="38">
                  <c:v>9.8000000000000007</c:v>
                </c:pt>
                <c:pt idx="39">
                  <c:v>9.4</c:v>
                </c:pt>
                <c:pt idx="40">
                  <c:v>9.8000000000000007</c:v>
                </c:pt>
                <c:pt idx="41">
                  <c:v>9.9</c:v>
                </c:pt>
                <c:pt idx="42">
                  <c:v>9.9</c:v>
                </c:pt>
                <c:pt idx="43">
                  <c:v>9.8000000000000007</c:v>
                </c:pt>
                <c:pt idx="44">
                  <c:v>9.8000000000000007</c:v>
                </c:pt>
                <c:pt idx="45">
                  <c:v>9.9</c:v>
                </c:pt>
                <c:pt idx="46">
                  <c:v>12.66</c:v>
                </c:pt>
                <c:pt idx="47">
                  <c:v>8.8000000000000007</c:v>
                </c:pt>
                <c:pt idx="48">
                  <c:v>9.8000000000000007</c:v>
                </c:pt>
                <c:pt idx="49">
                  <c:v>12.5</c:v>
                </c:pt>
                <c:pt idx="50">
                  <c:v>10</c:v>
                </c:pt>
                <c:pt idx="51">
                  <c:v>9.8000000000000007</c:v>
                </c:pt>
                <c:pt idx="52">
                  <c:v>6.6</c:v>
                </c:pt>
                <c:pt idx="53">
                  <c:v>6.8</c:v>
                </c:pt>
                <c:pt idx="54">
                  <c:v>9.8000000000000007</c:v>
                </c:pt>
                <c:pt idx="55">
                  <c:v>6.5</c:v>
                </c:pt>
                <c:pt idx="56">
                  <c:v>6.5</c:v>
                </c:pt>
                <c:pt idx="57">
                  <c:v>10.199999999999999</c:v>
                </c:pt>
                <c:pt idx="58">
                  <c:v>9.27</c:v>
                </c:pt>
                <c:pt idx="59">
                  <c:v>9.6999999999999993</c:v>
                </c:pt>
                <c:pt idx="60">
                  <c:v>10</c:v>
                </c:pt>
                <c:pt idx="61">
                  <c:v>9.5</c:v>
                </c:pt>
                <c:pt idx="62">
                  <c:v>9</c:v>
                </c:pt>
                <c:pt idx="63">
                  <c:v>9.4</c:v>
                </c:pt>
                <c:pt idx="64">
                  <c:v>7</c:v>
                </c:pt>
                <c:pt idx="65">
                  <c:v>13.1</c:v>
                </c:pt>
                <c:pt idx="66">
                  <c:v>8.3000000000000007</c:v>
                </c:pt>
                <c:pt idx="67">
                  <c:v>10.1</c:v>
                </c:pt>
                <c:pt idx="68">
                  <c:v>11</c:v>
                </c:pt>
                <c:pt idx="69">
                  <c:v>9.9</c:v>
                </c:pt>
                <c:pt idx="70">
                  <c:v>7.2</c:v>
                </c:pt>
                <c:pt idx="71">
                  <c:v>9.4</c:v>
                </c:pt>
              </c:numCache>
            </c:numRef>
          </c:yVal>
          <c:smooth val="0"/>
        </c:ser>
        <c:dLbls>
          <c:showLegendKey val="0"/>
          <c:showVal val="0"/>
          <c:showCatName val="0"/>
          <c:showSerName val="0"/>
          <c:showPercent val="0"/>
          <c:showBubbleSize val="0"/>
        </c:dLbls>
        <c:axId val="580472360"/>
        <c:axId val="580474320"/>
      </c:scatterChart>
      <c:valAx>
        <c:axId val="580472360"/>
        <c:scaling>
          <c:orientation val="minMax"/>
        </c:scaling>
        <c:delete val="0"/>
        <c:axPos val="b"/>
        <c:majorGridlines>
          <c:spPr>
            <a:ln w="9525" cap="flat" cmpd="sng" algn="ctr">
              <a:solidFill>
                <a:schemeClr val="lt1">
                  <a:lumMod val="90200"/>
                </a:schemeClr>
              </a:solidFill>
              <a:prstDash val="solid"/>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样品序号</a:t>
                </a:r>
              </a:p>
            </c:rich>
          </c:tx>
          <c:overlay val="0"/>
          <c:spPr>
            <a:noFill/>
            <a:ln>
              <a:noFill/>
            </a:ln>
            <a:effectLst/>
          </c:spPr>
        </c:titl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80474320"/>
        <c:crossesAt val="0"/>
        <c:crossBetween val="midCat"/>
      </c:valAx>
      <c:valAx>
        <c:axId val="580474320"/>
        <c:scaling>
          <c:orientation val="minMax"/>
          <c:max val="14"/>
          <c:min val="5"/>
        </c:scaling>
        <c:delete val="0"/>
        <c:axPos val="l"/>
        <c:majorGridlines>
          <c:spPr>
            <a:ln w="9525" cap="flat" cmpd="sng" algn="ctr">
              <a:solidFill>
                <a:schemeClr val="lt1">
                  <a:lumMod val="90200"/>
                </a:scheme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pH</a:t>
                </a:r>
                <a:r>
                  <a:rPr lang="zh-CN" altLang="en-US"/>
                  <a:t>值</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80472360"/>
        <c:crosses val="autoZero"/>
        <c:crossBetween val="midCat"/>
      </c:valAx>
      <c:spPr>
        <a:noFill/>
        <a:ln w="9525" cap="flat" cmpd="sng" algn="ctr">
          <a:solidFill>
            <a:schemeClr val="tx1">
              <a:lumMod val="15000"/>
              <a:lumOff val="85000"/>
            </a:schemeClr>
          </a:solidFill>
          <a:round/>
        </a:ln>
        <a:effectLst/>
      </c:spPr>
    </c:plotArea>
    <c:plotVisOnly val="1"/>
    <c:dispBlanksAs val="gap"/>
    <c:showDLblsOverMax val="0"/>
    <c:extLst>
      <c:ext uri="{0b15fc19-7d7d-44ad-8c2d-2c3a37ce22c3}">
        <chartProps xmlns="https://web.wps.cn/et/2018/main" chartId="{ae14ec2a-3444-48ac-98b8-85c5f60813ce}"/>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9.0161991307783504E-2"/>
          <c:y val="5.9932833893050902E-2"/>
          <c:w val="0.88086395364151204"/>
          <c:h val="0.75598036683027603"/>
        </c:manualLayout>
      </c:layout>
      <c:scatterChart>
        <c:scatterStyle val="lineMarker"/>
        <c:varyColors val="0"/>
        <c:ser>
          <c:idx val="0"/>
          <c:order val="0"/>
          <c:spPr>
            <a:ln w="19050" cap="rnd">
              <a:noFill/>
              <a:round/>
            </a:ln>
            <a:effectLst/>
          </c:spPr>
          <c:marker>
            <c:symbol val="circle"/>
            <c:size val="5"/>
            <c:spPr>
              <a:solidFill>
                <a:schemeClr val="dk1">
                  <a:tint val="88500"/>
                </a:schemeClr>
              </a:solidFill>
              <a:ln w="9525">
                <a:solidFill>
                  <a:schemeClr val="dk1">
                    <a:tint val="88500"/>
                  </a:schemeClr>
                </a:solidFill>
              </a:ln>
              <a:effectLst/>
            </c:spPr>
          </c:marker>
          <c:yVal>
            <c:numRef>
              <c:f>[各参数选择基础数据.xlsx]总活性物!$F$14:$F$23</c:f>
              <c:numCache>
                <c:formatCode>General</c:formatCode>
                <c:ptCount val="10"/>
                <c:pt idx="0">
                  <c:v>0.56599999999999995</c:v>
                </c:pt>
                <c:pt idx="1">
                  <c:v>0.371</c:v>
                </c:pt>
                <c:pt idx="2">
                  <c:v>1.0740000000000001</c:v>
                </c:pt>
                <c:pt idx="3">
                  <c:v>0.53100000000000003</c:v>
                </c:pt>
                <c:pt idx="4">
                  <c:v>0.53400000000000003</c:v>
                </c:pt>
                <c:pt idx="5">
                  <c:v>0.374</c:v>
                </c:pt>
                <c:pt idx="6">
                  <c:v>0.38900000000000001</c:v>
                </c:pt>
                <c:pt idx="7">
                  <c:v>0.56599999999999995</c:v>
                </c:pt>
                <c:pt idx="8">
                  <c:v>0.41899999999999998</c:v>
                </c:pt>
                <c:pt idx="9">
                  <c:v>0.64400000000000002</c:v>
                </c:pt>
              </c:numCache>
            </c:numRef>
          </c:yVal>
          <c:smooth val="0"/>
        </c:ser>
        <c:dLbls>
          <c:showLegendKey val="0"/>
          <c:showVal val="0"/>
          <c:showCatName val="0"/>
          <c:showSerName val="0"/>
          <c:showPercent val="0"/>
          <c:showBubbleSize val="0"/>
        </c:dLbls>
        <c:axId val="580476280"/>
        <c:axId val="580473536"/>
      </c:scatterChart>
      <c:valAx>
        <c:axId val="580476280"/>
        <c:scaling>
          <c:orientation val="minMax"/>
        </c:scaling>
        <c:delete val="0"/>
        <c:axPos val="b"/>
        <c:majorGridlines>
          <c:spPr>
            <a:ln w="9525" cap="flat" cmpd="sng" algn="ctr">
              <a:solidFill>
                <a:schemeClr val="lt1">
                  <a:lumMod val="902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样品</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80473536"/>
        <c:crosses val="autoZero"/>
        <c:crossBetween val="midCat"/>
      </c:valAx>
      <c:valAx>
        <c:axId val="580473536"/>
        <c:scaling>
          <c:orientation val="minMax"/>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总活性物</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80476280"/>
        <c:crosses val="autoZero"/>
        <c:crossBetween val="midCat"/>
      </c:valAx>
      <c:spPr>
        <a:noFill/>
        <a:ln w="9525" cap="flat" cmpd="sng" algn="ctr">
          <a:solidFill>
            <a:schemeClr val="tx1">
              <a:lumMod val="15000"/>
              <a:lumOff val="85000"/>
            </a:schemeClr>
          </a:solidFill>
          <a:round/>
        </a:ln>
        <a:effectLst/>
      </c:spPr>
    </c:plotArea>
    <c:plotVisOnly val="1"/>
    <c:dispBlanksAs val="gap"/>
    <c:showDLblsOverMax val="0"/>
    <c:extLst>
      <c:ext uri="{0b15fc19-7d7d-44ad-8c2d-2c3a37ce22c3}">
        <chartProps xmlns="https://web.wps.cn/et/2018/main" chartId="{19538c49-2dcf-41ad-a48e-0e006da1cd8a}"/>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1017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no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17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no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17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no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3C6776-97C1-4B69-B17F-C8D02ACC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1615</Words>
  <Characters>9209</Characters>
  <Application>Microsoft Office Word</Application>
  <DocSecurity>0</DocSecurity>
  <Lines>76</Lines>
  <Paragraphs>21</Paragraphs>
  <ScaleCrop>false</ScaleCrop>
  <Company>Microsoft</Company>
  <LinksUpToDate>false</LinksUpToDate>
  <CharactersWithSpaces>10803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任青考</cp:lastModifiedBy>
  <cp:revision>9</cp:revision>
  <cp:lastPrinted>2018-09-03T07:39:00Z</cp:lastPrinted>
  <dcterms:created xsi:type="dcterms:W3CDTF">2019-09-27T08:47:00Z</dcterms:created>
  <dcterms:modified xsi:type="dcterms:W3CDTF">2026-08-05T07:10:00Z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eyJoZGlkIjoiMjQ4OTljNjkwZDc5NGVkZjM5MDA0NjM0NzI0YTRjZGIiLCJ1c2VySWQiOiIxMDYyOTUwNDY5In0=</vt:lpwstr>
  </property>
  <property fmtid="{D5CDD505-2E9C-101B-9397-08002B2CF9AE}" pid="3" name="KSOProductBuildVer">
    <vt:lpwstr>2052-12.1.0.26895</vt:lpwstr>
  </property>
  <property fmtid="{D5CDD505-2E9C-101B-9397-08002B2CF9AE}" pid="4" name="ICV">
    <vt:lpwstr>196BA0EB86904F2FBB8C3B9D19792AE2_13</vt:lpwstr>
  </property>
</Properties>
</file>